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6E41C3" w:rsidRPr="006E41C3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7106" w:rsidRPr="006E41C3" w:rsidRDefault="006E41C3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End w:id="0"/>
            <w:r w:rsidRPr="006E41C3">
              <w:rPr>
                <w:noProof/>
                <w:lang w:val="uk" w:eastAsia="uk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1C3" w:rsidRPr="006E41C3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7106" w:rsidRPr="006E41C3" w:rsidRDefault="006E41C3">
            <w:pPr>
              <w:pStyle w:val="rvps17"/>
              <w:spacing w:before="300"/>
              <w:ind w:left="450" w:right="450"/>
              <w:rPr>
                <w:lang w:val="uk" w:eastAsia="uk"/>
              </w:rPr>
            </w:pPr>
            <w:r w:rsidRPr="006E41C3">
              <w:rPr>
                <w:rStyle w:val="spanrvts78"/>
                <w:lang w:val="uk" w:eastAsia="uk"/>
              </w:rPr>
              <w:t>ЗАКОН УКРАЇНИ</w:t>
            </w:r>
          </w:p>
        </w:tc>
      </w:tr>
    </w:tbl>
    <w:p w:rsidR="00677106" w:rsidRPr="006E41C3" w:rsidRDefault="006E41C3"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 w:rsidRPr="006E41C3">
        <w:rPr>
          <w:rStyle w:val="spanrvts23"/>
          <w:lang w:val="uk" w:eastAsia="uk"/>
        </w:rPr>
        <w:t>Про внесення зміни до Податкового кодексу України щодо підтримки Державного підприємства "Виробниче об’єднання Південний машинобудівний завод імені О.М. Макарова" в умовах воєнного стану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2" w:name="n4"/>
      <w:bookmarkEnd w:id="2"/>
      <w:r w:rsidRPr="006E41C3">
        <w:rPr>
          <w:lang w:val="uk" w:eastAsia="uk"/>
        </w:rPr>
        <w:t xml:space="preserve">Верховна Рада України </w:t>
      </w:r>
      <w:r w:rsidRPr="006E41C3">
        <w:rPr>
          <w:rStyle w:val="spanrvts52"/>
          <w:lang w:val="uk" w:eastAsia="uk"/>
        </w:rPr>
        <w:t>постановляє: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3" w:name="n5"/>
      <w:bookmarkEnd w:id="3"/>
      <w:r w:rsidRPr="006E41C3">
        <w:rPr>
          <w:lang w:val="uk" w:eastAsia="uk"/>
        </w:rPr>
        <w:t xml:space="preserve">I. </w:t>
      </w:r>
      <w:r w:rsidRPr="006E41C3">
        <w:rPr>
          <w:rStyle w:val="arvts96"/>
          <w:color w:val="auto"/>
          <w:lang w:val="uk" w:eastAsia="uk"/>
        </w:rPr>
        <w:t>Підрозділ 10</w:t>
      </w:r>
      <w:r w:rsidRPr="006E41C3">
        <w:rPr>
          <w:lang w:val="uk" w:eastAsia="uk"/>
        </w:rPr>
        <w:t xml:space="preserve"> розділу XX "Перехідні положення" Податкового кодексу України (Відомості Верховної Ради України, 2011 р., №№ 13–17, ст. 112) доповнити пунктом 77 такого змісту: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4" w:name="n6"/>
      <w:bookmarkEnd w:id="4"/>
      <w:r w:rsidRPr="006E41C3">
        <w:rPr>
          <w:lang w:val="uk" w:eastAsia="uk"/>
        </w:rPr>
        <w:t>"7</w:t>
      </w:r>
      <w:r w:rsidRPr="006E41C3">
        <w:rPr>
          <w:lang w:val="uk" w:eastAsia="uk"/>
        </w:rPr>
        <w:t>7. Тимчасово, до 1 січня 2027 року, щодо Державного підприємства "Виробниче об’єднання Південний машинобудівний завод імені М. Макарова":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5" w:name="n7"/>
      <w:bookmarkEnd w:id="5"/>
      <w:r w:rsidRPr="006E41C3">
        <w:rPr>
          <w:lang w:val="uk" w:eastAsia="uk"/>
        </w:rPr>
        <w:t>контролюючі органи не здійснюють заходи з погашення податкового боргу, передбачені статтями 59-60, 87-101 цього Кодекс</w:t>
      </w:r>
      <w:r w:rsidRPr="006E41C3">
        <w:rPr>
          <w:lang w:val="uk" w:eastAsia="uk"/>
        </w:rPr>
        <w:t>у;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6" w:name="n8"/>
      <w:bookmarkEnd w:id="6"/>
      <w:r w:rsidRPr="006E41C3">
        <w:rPr>
          <w:lang w:val="uk" w:eastAsia="uk"/>
        </w:rPr>
        <w:t>зупиняється перебіг строків давності, визначених пунктом 102.4 статті 102 цього Кодексу".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7" w:name="n9"/>
      <w:bookmarkEnd w:id="7"/>
      <w:r w:rsidRPr="006E41C3">
        <w:rPr>
          <w:lang w:val="uk" w:eastAsia="uk"/>
        </w:rPr>
        <w:t>II. Прикінцеві положення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8" w:name="n10"/>
      <w:bookmarkEnd w:id="8"/>
      <w:r w:rsidRPr="006E41C3">
        <w:rPr>
          <w:lang w:val="uk" w:eastAsia="uk"/>
        </w:rPr>
        <w:t>1. Цей Закон набирає чинності з дня, наступного за днем його опублікування.</w:t>
      </w:r>
    </w:p>
    <w:p w:rsidR="00677106" w:rsidRPr="006E41C3" w:rsidRDefault="006E41C3">
      <w:pPr>
        <w:pStyle w:val="rvps2"/>
        <w:spacing w:after="150"/>
        <w:rPr>
          <w:lang w:val="uk" w:eastAsia="uk"/>
        </w:rPr>
      </w:pPr>
      <w:bookmarkStart w:id="9" w:name="n11"/>
      <w:bookmarkEnd w:id="9"/>
      <w:r w:rsidRPr="006E41C3">
        <w:rPr>
          <w:lang w:val="uk" w:eastAsia="uk"/>
        </w:rPr>
        <w:t xml:space="preserve">2. В </w:t>
      </w:r>
      <w:r w:rsidRPr="006E41C3">
        <w:rPr>
          <w:rStyle w:val="arvts96"/>
          <w:color w:val="auto"/>
          <w:lang w:val="uk" w:eastAsia="uk"/>
        </w:rPr>
        <w:t>абзаці першому</w:t>
      </w:r>
      <w:r w:rsidRPr="006E41C3">
        <w:rPr>
          <w:lang w:val="uk" w:eastAsia="uk"/>
        </w:rPr>
        <w:t xml:space="preserve"> пункту 10</w:t>
      </w:r>
      <w:r w:rsidRPr="006E41C3">
        <w:rPr>
          <w:rStyle w:val="spanrvts37"/>
          <w:sz w:val="0"/>
          <w:szCs w:val="0"/>
          <w:lang w:val="uk" w:eastAsia="uk"/>
        </w:rPr>
        <w:t>-</w:t>
      </w:r>
      <w:r w:rsidRPr="006E41C3">
        <w:rPr>
          <w:rStyle w:val="spanrvts37"/>
          <w:lang w:val="uk" w:eastAsia="uk"/>
        </w:rPr>
        <w:t>6</w:t>
      </w:r>
      <w:r w:rsidRPr="006E41C3">
        <w:rPr>
          <w:lang w:val="uk" w:eastAsia="uk"/>
        </w:rPr>
        <w:t xml:space="preserve"> розділу XIII "Прикінцеві та перехідні положення" Закону України "Про виконавче провадження" (Відомості Верховної Ради України, 2016 р., № 30, ст. 542; 2025 р., № 33, ст. 118) цифри "2026" замінити цифрам</w:t>
      </w:r>
      <w:r w:rsidRPr="006E41C3">
        <w:rPr>
          <w:lang w:val="uk" w:eastAsia="uk"/>
        </w:rPr>
        <w:t>и "2027".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92"/>
        <w:gridCol w:w="6981"/>
      </w:tblGrid>
      <w:tr w:rsidR="006E41C3" w:rsidRPr="006E41C3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7106" w:rsidRPr="006E41C3" w:rsidRDefault="006E41C3">
            <w:pPr>
              <w:pStyle w:val="rvps4"/>
              <w:spacing w:before="300" w:after="150"/>
              <w:rPr>
                <w:lang w:val="uk" w:eastAsia="uk"/>
              </w:rPr>
            </w:pPr>
            <w:bookmarkStart w:id="10" w:name="n12"/>
            <w:bookmarkEnd w:id="10"/>
            <w:r w:rsidRPr="006E41C3">
              <w:rPr>
                <w:rStyle w:val="spanrvts44"/>
                <w:lang w:val="uk" w:eastAsia="uk"/>
              </w:rPr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7106" w:rsidRPr="006E41C3" w:rsidRDefault="006E41C3">
            <w:pPr>
              <w:pStyle w:val="rvps15"/>
              <w:spacing w:before="300"/>
              <w:rPr>
                <w:lang w:val="uk" w:eastAsia="uk"/>
              </w:rPr>
            </w:pPr>
            <w:r w:rsidRPr="006E41C3">
              <w:rPr>
                <w:rStyle w:val="spanrvts44"/>
                <w:lang w:val="uk" w:eastAsia="uk"/>
              </w:rPr>
              <w:t>В. ЗЕЛЕНСЬКИЙ</w:t>
            </w:r>
          </w:p>
        </w:tc>
      </w:tr>
      <w:tr w:rsidR="006E41C3" w:rsidRPr="006E41C3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7106" w:rsidRPr="006E41C3" w:rsidRDefault="006E41C3">
            <w:pPr>
              <w:pStyle w:val="rvps4"/>
              <w:spacing w:before="300" w:after="150"/>
              <w:rPr>
                <w:lang w:val="uk" w:eastAsia="uk"/>
              </w:rPr>
            </w:pPr>
            <w:r w:rsidRPr="006E41C3">
              <w:rPr>
                <w:rStyle w:val="spanrvts44"/>
                <w:lang w:val="uk" w:eastAsia="uk"/>
              </w:rPr>
              <w:t xml:space="preserve">м. Київ </w:t>
            </w:r>
            <w:r w:rsidRPr="006E41C3">
              <w:rPr>
                <w:rStyle w:val="spanrvts44"/>
                <w:lang w:val="uk" w:eastAsia="uk"/>
              </w:rPr>
              <w:br/>
              <w:t xml:space="preserve">17 грудня 2025 року </w:t>
            </w:r>
            <w:r w:rsidRPr="006E41C3">
              <w:rPr>
                <w:rStyle w:val="spanrvts44"/>
                <w:lang w:val="uk" w:eastAsia="uk"/>
              </w:rPr>
              <w:br/>
              <w:t xml:space="preserve">№ </w:t>
            </w:r>
            <w:bookmarkStart w:id="11" w:name="_GoBack"/>
            <w:r w:rsidRPr="006E41C3">
              <w:rPr>
                <w:rStyle w:val="spanrvts44"/>
                <w:lang w:val="uk" w:eastAsia="uk"/>
              </w:rPr>
              <w:t>4727-IX</w:t>
            </w:r>
            <w:bookmarkEnd w:id="11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106" w:rsidRPr="006E41C3" w:rsidRDefault="00677106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:rsidR="00677106" w:rsidRPr="006E41C3" w:rsidRDefault="00677106" w:rsidP="006E41C3">
      <w:pPr>
        <w:pStyle w:val="stamp"/>
        <w:rPr>
          <w:lang w:val="uk" w:eastAsia="uk"/>
        </w:rPr>
      </w:pPr>
    </w:p>
    <w:sectPr w:rsidR="00677106" w:rsidRPr="006E41C3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34D43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E4AD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6A3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DC57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DE22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7CC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E4DD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448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7CB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6"/>
    <w:rsid w:val="00677106"/>
    <w:rsid w:val="006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11E1D-3FDB-4837-9C66-15CDAB1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78">
    <w:name w:val="span_rvts78"/>
    <w:basedOn w:val="a0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зміни до Податкового кодексу України щодо підтримки Державного підприємства "Виробниче об'єднання Південний машинобуд... | від 17.12.2025 № 4727-IX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зміни до Податкового кодексу України щодо підтримки Державного підприємства "Виробниче об'єднання Південний машинобуд... | від 17.12.2025 № 4727-IX</dc:title>
  <dc:creator>ГЛОБА ОЛЕКСІЙ ВОЛОДИМИРОВИЧ</dc:creator>
  <cp:lastModifiedBy>ГЛОБА ОЛЕКСІЙ ВОЛОДИМИРОВИЧ</cp:lastModifiedBy>
  <cp:revision>2</cp:revision>
  <dcterms:created xsi:type="dcterms:W3CDTF">2025-12-30T12:36:00Z</dcterms:created>
  <dcterms:modified xsi:type="dcterms:W3CDTF">2025-12-30T12:36:00Z</dcterms:modified>
</cp:coreProperties>
</file>