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3A6FC" w14:textId="77777777" w:rsidR="00713C49" w:rsidRPr="007C00BB" w:rsidRDefault="00713C49" w:rsidP="0017389C">
      <w:pPr>
        <w:pStyle w:val="Ch6"/>
        <w:ind w:left="9639"/>
        <w:rPr>
          <w:w w:val="100"/>
          <w:sz w:val="24"/>
          <w:szCs w:val="24"/>
        </w:rPr>
      </w:pPr>
      <w:bookmarkStart w:id="0" w:name="_GoBack"/>
      <w:bookmarkEnd w:id="0"/>
      <w:r w:rsidRPr="007C00BB">
        <w:rPr>
          <w:w w:val="100"/>
          <w:sz w:val="24"/>
          <w:szCs w:val="24"/>
        </w:rPr>
        <w:t>Додаток 30</w:t>
      </w:r>
      <w:r w:rsidRPr="007C00BB">
        <w:rPr>
          <w:w w:val="100"/>
          <w:sz w:val="24"/>
          <w:szCs w:val="24"/>
        </w:rPr>
        <w:br/>
        <w:t>до Порядку надіслання контролюючими органами</w:t>
      </w:r>
      <w:r w:rsidRPr="007C00BB">
        <w:rPr>
          <w:w w:val="100"/>
          <w:sz w:val="24"/>
          <w:szCs w:val="24"/>
        </w:rPr>
        <w:br/>
        <w:t>податкових повідомлень — рішень платникам податків</w:t>
      </w:r>
      <w:r w:rsidRPr="007C00BB">
        <w:rPr>
          <w:w w:val="100"/>
          <w:sz w:val="24"/>
          <w:szCs w:val="24"/>
        </w:rPr>
        <w:br/>
        <w:t>(пункт 2 розділу II)</w:t>
      </w:r>
    </w:p>
    <w:p w14:paraId="3939DF66" w14:textId="77777777" w:rsidR="00713C49" w:rsidRPr="007C00BB" w:rsidRDefault="00713C49" w:rsidP="00713C49">
      <w:pPr>
        <w:pStyle w:val="Ch60"/>
        <w:rPr>
          <w:w w:val="100"/>
          <w:sz w:val="24"/>
          <w:szCs w:val="24"/>
        </w:rPr>
      </w:pPr>
      <w:r w:rsidRPr="007C00BB">
        <w:rPr>
          <w:w w:val="100"/>
          <w:sz w:val="24"/>
          <w:szCs w:val="24"/>
        </w:rPr>
        <w:t>Форма «МПЗФ»</w:t>
      </w:r>
    </w:p>
    <w:p w14:paraId="7C3C1B53" w14:textId="022D3A50" w:rsidR="00713C49" w:rsidRPr="007C00BB" w:rsidRDefault="00713C49" w:rsidP="00713C49">
      <w:pPr>
        <w:pStyle w:val="Ch60"/>
        <w:ind w:left="284"/>
        <w:rPr>
          <w:w w:val="100"/>
          <w:sz w:val="24"/>
          <w:szCs w:val="24"/>
        </w:rPr>
      </w:pPr>
      <w:r w:rsidRPr="007C00BB">
        <w:rPr>
          <w:noProof/>
          <w:w w:val="100"/>
          <w:sz w:val="24"/>
          <w:szCs w:val="24"/>
        </w:rPr>
        <w:drawing>
          <wp:inline distT="0" distB="0" distL="0" distR="0" wp14:anchorId="0535A51F" wp14:editId="6DB30A3C">
            <wp:extent cx="8912860" cy="4628531"/>
            <wp:effectExtent l="0" t="0" r="2540" b="635"/>
            <wp:docPr id="7761139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33938" cy="4639477"/>
                    </a:xfrm>
                    <a:prstGeom prst="rect">
                      <a:avLst/>
                    </a:prstGeom>
                    <a:noFill/>
                    <a:ln>
                      <a:noFill/>
                    </a:ln>
                  </pic:spPr>
                </pic:pic>
              </a:graphicData>
            </a:graphic>
          </wp:inline>
        </w:drawing>
      </w:r>
    </w:p>
    <w:p w14:paraId="28F1461A" w14:textId="3C8B215C" w:rsidR="00713C49" w:rsidRPr="007C00BB" w:rsidRDefault="00713C49" w:rsidP="00713C49">
      <w:pPr>
        <w:pStyle w:val="Ch60"/>
        <w:ind w:left="284"/>
        <w:rPr>
          <w:w w:val="100"/>
          <w:sz w:val="24"/>
          <w:szCs w:val="24"/>
        </w:rPr>
      </w:pPr>
      <w:r w:rsidRPr="007C00BB">
        <w:rPr>
          <w:noProof/>
          <w:w w:val="100"/>
          <w:sz w:val="24"/>
          <w:szCs w:val="24"/>
        </w:rPr>
        <w:lastRenderedPageBreak/>
        <w:drawing>
          <wp:inline distT="0" distB="0" distL="0" distR="0" wp14:anchorId="760C5C77" wp14:editId="28EC2448">
            <wp:extent cx="9015614" cy="5798651"/>
            <wp:effectExtent l="0" t="0" r="0" b="0"/>
            <wp:docPr id="54226010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37463" cy="5812704"/>
                    </a:xfrm>
                    <a:prstGeom prst="rect">
                      <a:avLst/>
                    </a:prstGeom>
                    <a:noFill/>
                    <a:ln>
                      <a:noFill/>
                    </a:ln>
                  </pic:spPr>
                </pic:pic>
              </a:graphicData>
            </a:graphic>
          </wp:inline>
        </w:drawing>
      </w:r>
    </w:p>
    <w:p w14:paraId="4B1B0C2A" w14:textId="66A4D5F8" w:rsidR="00713C49" w:rsidRPr="007C00BB" w:rsidRDefault="00713C49" w:rsidP="00713C49">
      <w:pPr>
        <w:pStyle w:val="Ch60"/>
        <w:ind w:left="993"/>
        <w:rPr>
          <w:w w:val="100"/>
          <w:sz w:val="24"/>
          <w:szCs w:val="24"/>
        </w:rPr>
      </w:pPr>
      <w:r w:rsidRPr="007C00BB">
        <w:rPr>
          <w:noProof/>
          <w:w w:val="100"/>
          <w:sz w:val="24"/>
          <w:szCs w:val="24"/>
        </w:rPr>
        <w:lastRenderedPageBreak/>
        <w:drawing>
          <wp:inline distT="0" distB="0" distL="0" distR="0" wp14:anchorId="53444900" wp14:editId="62CFE286">
            <wp:extent cx="6598804" cy="1666113"/>
            <wp:effectExtent l="0" t="0" r="0" b="0"/>
            <wp:docPr id="11457531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9391" cy="1688985"/>
                    </a:xfrm>
                    <a:prstGeom prst="rect">
                      <a:avLst/>
                    </a:prstGeom>
                    <a:noFill/>
                    <a:ln>
                      <a:noFill/>
                    </a:ln>
                  </pic:spPr>
                </pic:pic>
              </a:graphicData>
            </a:graphic>
          </wp:inline>
        </w:drawing>
      </w:r>
    </w:p>
    <w:p w14:paraId="67AE945A" w14:textId="7B07A980" w:rsidR="00713C49" w:rsidRPr="007C00BB" w:rsidRDefault="00713C49" w:rsidP="00713C49">
      <w:pPr>
        <w:pStyle w:val="Ch60"/>
        <w:ind w:left="284"/>
        <w:rPr>
          <w:w w:val="100"/>
          <w:sz w:val="24"/>
          <w:szCs w:val="24"/>
        </w:rPr>
      </w:pPr>
      <w:r w:rsidRPr="007C00BB">
        <w:rPr>
          <w:noProof/>
          <w:w w:val="100"/>
          <w:sz w:val="24"/>
          <w:szCs w:val="24"/>
        </w:rPr>
        <w:drawing>
          <wp:inline distT="0" distB="0" distL="0" distR="0" wp14:anchorId="7DB163EE" wp14:editId="20E97126">
            <wp:extent cx="9400540" cy="4655763"/>
            <wp:effectExtent l="0" t="0" r="0" b="0"/>
            <wp:docPr id="14678041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5392" cy="4668072"/>
                    </a:xfrm>
                    <a:prstGeom prst="rect">
                      <a:avLst/>
                    </a:prstGeom>
                    <a:noFill/>
                    <a:ln>
                      <a:noFill/>
                    </a:ln>
                  </pic:spPr>
                </pic:pic>
              </a:graphicData>
            </a:graphic>
          </wp:inline>
        </w:drawing>
      </w:r>
    </w:p>
    <w:p w14:paraId="2F7E2C85" w14:textId="77777777" w:rsidR="00713C49" w:rsidRPr="007C00BB" w:rsidRDefault="00713C49" w:rsidP="00D26AF2">
      <w:pPr>
        <w:pStyle w:val="SnoskaSNOSKI"/>
        <w:pageBreakBefore/>
        <w:pBdr>
          <w:top w:val="none" w:sz="0" w:space="0" w:color="auto"/>
        </w:pBdr>
        <w:tabs>
          <w:tab w:val="clear" w:pos="60"/>
          <w:tab w:val="clear" w:pos="720"/>
          <w:tab w:val="left" w:pos="709"/>
        </w:tabs>
        <w:ind w:firstLine="709"/>
        <w:rPr>
          <w:w w:val="100"/>
          <w:sz w:val="24"/>
          <w:szCs w:val="24"/>
        </w:rPr>
      </w:pPr>
    </w:p>
    <w:p w14:paraId="167EAC68" w14:textId="7FD173C6" w:rsidR="00713C49" w:rsidRPr="00713C49" w:rsidRDefault="00713C49" w:rsidP="00D26AF2">
      <w:pPr>
        <w:pStyle w:val="SnoskaSNOSKI"/>
        <w:tabs>
          <w:tab w:val="left" w:pos="1985"/>
        </w:tabs>
        <w:rPr>
          <w:w w:val="100"/>
          <w:sz w:val="20"/>
          <w:szCs w:val="20"/>
        </w:rPr>
      </w:pPr>
      <w:r w:rsidRPr="00713C49">
        <w:rPr>
          <w:w w:val="100"/>
          <w:sz w:val="20"/>
          <w:szCs w:val="20"/>
          <w:vertAlign w:val="superscript"/>
        </w:rPr>
        <w:t>1</w:t>
      </w:r>
      <w:r w:rsidRPr="00713C49">
        <w:rPr>
          <w:w w:val="100"/>
          <w:sz w:val="20"/>
          <w:szCs w:val="20"/>
        </w:rPr>
        <w:t xml:space="preserve"> </w:t>
      </w:r>
      <w:r w:rsidRPr="00713C49">
        <w:rPr>
          <w:w w:val="100"/>
          <w:sz w:val="20"/>
          <w:szCs w:val="20"/>
        </w:rPr>
        <w:tab/>
        <w:t>Платники податку — власники, орендарі, користувачі на інших умовах (в тому числі на умовах емфітевзису) земельних ділянок, віднесених до сільськогосподарських угідь, не переданих такими особами в оренду (суборенду), емфітевзис або інше користування на підставі договорів, укладених та зареєстрованих відповідно до законодавства. Мінімальне податкове зобов’язання визначається за період володіння (користування) земельною ділянкою, який припадає на відповідний податковий (звітний) рік.</w:t>
      </w:r>
    </w:p>
    <w:p w14:paraId="14A8CD34" w14:textId="6345330A" w:rsidR="00713C49" w:rsidRPr="00713C49" w:rsidRDefault="00713C49" w:rsidP="00713C49">
      <w:pPr>
        <w:pStyle w:val="SnoskaSNOSKI"/>
        <w:pBdr>
          <w:top w:val="none" w:sz="0" w:space="0" w:color="auto"/>
        </w:pBdr>
        <w:rPr>
          <w:w w:val="100"/>
          <w:sz w:val="20"/>
          <w:szCs w:val="20"/>
        </w:rPr>
      </w:pPr>
      <w:r w:rsidRPr="00713C49">
        <w:rPr>
          <w:w w:val="100"/>
          <w:sz w:val="20"/>
          <w:szCs w:val="20"/>
          <w:vertAlign w:val="superscript"/>
        </w:rPr>
        <w:t>2</w:t>
      </w:r>
      <w:r w:rsidRPr="00713C49">
        <w:rPr>
          <w:w w:val="100"/>
          <w:sz w:val="20"/>
          <w:szCs w:val="20"/>
        </w:rPr>
        <w:t xml:space="preserve"> </w:t>
      </w:r>
      <w:r w:rsidRPr="00713C49">
        <w:rPr>
          <w:w w:val="100"/>
          <w:sz w:val="20"/>
          <w:szCs w:val="20"/>
        </w:rPr>
        <w:tab/>
      </w:r>
      <w:proofErr w:type="spellStart"/>
      <w:r w:rsidRPr="00713C49">
        <w:rPr>
          <w:w w:val="100"/>
          <w:sz w:val="20"/>
          <w:szCs w:val="20"/>
        </w:rPr>
        <w:t>НГОд</w:t>
      </w:r>
      <w:proofErr w:type="spellEnd"/>
      <w:r w:rsidRPr="00713C49">
        <w:rPr>
          <w:w w:val="100"/>
          <w:sz w:val="20"/>
          <w:szCs w:val="20"/>
        </w:rPr>
        <w:t> — нормативна грошова оцінка відповідної земельної ділянки з урахуванням коефіцієнта індексації, визначеного відповідно до порядку, встановленого Податковим кодексом України для справляння плати за землю. НГО — нормативна грошова оцінка 1 гектара ріллі по Автономній Республіці Крим або по області з урахуванням коефіцієнта індексації, визначеного відповідно до порядку, встановленого Податковим кодексом України для справляння плати за землю.</w:t>
      </w:r>
    </w:p>
    <w:p w14:paraId="2AD4F8F1" w14:textId="70C3E9D6" w:rsidR="00713C49" w:rsidRPr="00713C49" w:rsidRDefault="00713C49" w:rsidP="00713C49">
      <w:pPr>
        <w:pStyle w:val="SnoskaSNOSKI"/>
        <w:pBdr>
          <w:top w:val="none" w:sz="0" w:space="0" w:color="auto"/>
        </w:pBdr>
        <w:rPr>
          <w:w w:val="100"/>
          <w:sz w:val="20"/>
          <w:szCs w:val="20"/>
        </w:rPr>
      </w:pPr>
      <w:r w:rsidRPr="00713C49">
        <w:rPr>
          <w:w w:val="100"/>
          <w:sz w:val="20"/>
          <w:szCs w:val="20"/>
          <w:vertAlign w:val="superscript"/>
        </w:rPr>
        <w:t>3</w:t>
      </w:r>
      <w:r w:rsidRPr="00713C49">
        <w:rPr>
          <w:w w:val="100"/>
          <w:sz w:val="20"/>
          <w:szCs w:val="20"/>
        </w:rPr>
        <w:t xml:space="preserve"> </w:t>
      </w:r>
      <w:r w:rsidRPr="00713C49">
        <w:rPr>
          <w:w w:val="100"/>
          <w:sz w:val="20"/>
          <w:szCs w:val="20"/>
        </w:rPr>
        <w:tab/>
        <w:t>К — коефіцієнт, що становить 0,05. Тимчасово, для розрахунку мінімального податкового зобов’язання за 2022 та 2023 податкові (звітні) роки коефіцієнт «К», визначений у підпунктах 38</w:t>
      </w:r>
      <w:r w:rsidRPr="00713C49">
        <w:rPr>
          <w:w w:val="100"/>
          <w:sz w:val="20"/>
          <w:szCs w:val="20"/>
          <w:vertAlign w:val="superscript"/>
        </w:rPr>
        <w:t>1</w:t>
      </w:r>
      <w:r w:rsidRPr="00713C49">
        <w:rPr>
          <w:w w:val="100"/>
          <w:sz w:val="20"/>
          <w:szCs w:val="20"/>
        </w:rPr>
        <w:t>.1.1 і 38</w:t>
      </w:r>
      <w:r w:rsidRPr="00713C49">
        <w:rPr>
          <w:w w:val="100"/>
          <w:sz w:val="20"/>
          <w:szCs w:val="20"/>
          <w:vertAlign w:val="superscript"/>
        </w:rPr>
        <w:t>1</w:t>
      </w:r>
      <w:r w:rsidRPr="00713C49">
        <w:rPr>
          <w:w w:val="100"/>
          <w:sz w:val="20"/>
          <w:szCs w:val="20"/>
        </w:rPr>
        <w:t>.1.2 пункту 38</w:t>
      </w:r>
      <w:r w:rsidRPr="00713C49">
        <w:rPr>
          <w:w w:val="100"/>
          <w:sz w:val="20"/>
          <w:szCs w:val="20"/>
          <w:vertAlign w:val="superscript"/>
        </w:rPr>
        <w:t>1</w:t>
      </w:r>
      <w:r w:rsidRPr="00713C49">
        <w:rPr>
          <w:w w:val="100"/>
          <w:sz w:val="20"/>
          <w:szCs w:val="20"/>
        </w:rPr>
        <w:t>.1 статті 38</w:t>
      </w:r>
      <w:r w:rsidRPr="00713C49">
        <w:rPr>
          <w:w w:val="100"/>
          <w:sz w:val="20"/>
          <w:szCs w:val="20"/>
          <w:vertAlign w:val="superscript"/>
        </w:rPr>
        <w:t>1</w:t>
      </w:r>
      <w:r w:rsidRPr="00713C49">
        <w:rPr>
          <w:w w:val="100"/>
          <w:sz w:val="20"/>
          <w:szCs w:val="20"/>
        </w:rPr>
        <w:t xml:space="preserve"> розділу І Податкового кодексу України, застосовується із значенням 0,04.</w:t>
      </w:r>
    </w:p>
    <w:p w14:paraId="475F001B" w14:textId="26EEA377" w:rsidR="00713C49" w:rsidRPr="00713C49" w:rsidRDefault="00713C49" w:rsidP="00713C49">
      <w:pPr>
        <w:pStyle w:val="SnoskaSNOSKI"/>
        <w:pBdr>
          <w:top w:val="none" w:sz="0" w:space="0" w:color="auto"/>
        </w:pBdr>
        <w:rPr>
          <w:w w:val="100"/>
          <w:sz w:val="20"/>
          <w:szCs w:val="20"/>
        </w:rPr>
      </w:pPr>
      <w:r w:rsidRPr="00713C49">
        <w:rPr>
          <w:w w:val="100"/>
          <w:sz w:val="20"/>
          <w:szCs w:val="20"/>
          <w:vertAlign w:val="superscript"/>
        </w:rPr>
        <w:t>4</w:t>
      </w:r>
      <w:r w:rsidRPr="00713C49">
        <w:rPr>
          <w:w w:val="100"/>
          <w:sz w:val="20"/>
          <w:szCs w:val="20"/>
        </w:rPr>
        <w:t xml:space="preserve"> </w:t>
      </w:r>
      <w:r w:rsidRPr="00713C49">
        <w:rPr>
          <w:w w:val="100"/>
          <w:sz w:val="20"/>
          <w:szCs w:val="20"/>
        </w:rPr>
        <w:tab/>
        <w:t>Кількість календарних місяців, протягом яких земельна ділянка перебуває у власності платника податків, крім земельних ділянок, віднесених до сільськогосподарських угідь, не переданих такими особами в оренду (суборенду), емфітевзис або інше користування на підставі договорів, укладених та зареєстрованих відповідно до законодавства.</w:t>
      </w:r>
    </w:p>
    <w:p w14:paraId="2293DB62" w14:textId="2C01D549" w:rsidR="00713C49" w:rsidRPr="00713C49" w:rsidRDefault="00713C49" w:rsidP="00713C49">
      <w:pPr>
        <w:pStyle w:val="SnoskaSNOSKI"/>
        <w:pBdr>
          <w:top w:val="none" w:sz="0" w:space="0" w:color="auto"/>
        </w:pBdr>
        <w:rPr>
          <w:w w:val="100"/>
          <w:sz w:val="20"/>
          <w:szCs w:val="20"/>
        </w:rPr>
      </w:pPr>
      <w:r w:rsidRPr="00713C49">
        <w:rPr>
          <w:w w:val="100"/>
          <w:sz w:val="20"/>
          <w:szCs w:val="20"/>
          <w:vertAlign w:val="superscript"/>
        </w:rPr>
        <w:t xml:space="preserve">5 </w:t>
      </w:r>
      <w:r w:rsidRPr="00713C49">
        <w:rPr>
          <w:w w:val="100"/>
          <w:sz w:val="20"/>
          <w:szCs w:val="20"/>
        </w:rPr>
        <w:tab/>
        <w:t>Мінімальне податкове зобов’язання не визначається для: земельних ділянок, що використовуються дачними (</w:t>
      </w:r>
      <w:proofErr w:type="spellStart"/>
      <w:r w:rsidRPr="00713C49">
        <w:rPr>
          <w:w w:val="100"/>
          <w:sz w:val="20"/>
          <w:szCs w:val="20"/>
        </w:rPr>
        <w:t>дачно</w:t>
      </w:r>
      <w:proofErr w:type="spellEnd"/>
      <w:r w:rsidRPr="00713C49">
        <w:rPr>
          <w:w w:val="100"/>
          <w:sz w:val="20"/>
          <w:szCs w:val="20"/>
        </w:rPr>
        <w:t>-будівельними) та садівничими (городницькими) кооперативами (товариствами), а також набуті у власність / користування членами цих кооперативів (товариств) у результаті приватизації (купівлі / продажу, оренди) у межах земель, що належали цим кооперативам (товариствам) на праві колективної власності чи перебували у їх постійному користуванні; земель запасу; невитребуваних земельних часток (паїв), розпорядниками яких є органи місцевого самоврядування, крім таких земельних часток (паїв), переданих органами місцевого самоврядування в оренду; земельних ділянок зон відчуження та безумовного (обов’язкового) відселення, що зазнали радіоактивного забруднення внаслідок Чорнобильської катастрофи; земельних ділянок, віднесених до сільськогосподарських угідь, які належать фізичним особам на праві власності та/або на праві користування та станом на 1 січня 2022 року знаходилися у межах населених пунктів. На період здійснення заходів із забезпечення проведення операції Об’єднаних сил (ООС) щодо земельних ділянок, віднесених до сільськогосподарських угідь, що розташовані на тимчасово окупованій території та/або території населених пунктів на лінії зіткнення, мінімальне податкове зобов’язання не визначається.</w:t>
      </w:r>
    </w:p>
    <w:p w14:paraId="4C65088F" w14:textId="0C3D7ABC" w:rsidR="00F12C76" w:rsidRDefault="00F12C76" w:rsidP="006C0B77">
      <w:pPr>
        <w:spacing w:after="0"/>
        <w:ind w:firstLine="709"/>
        <w:jc w:val="both"/>
        <w:rPr>
          <w:lang w:val="uk-UA"/>
        </w:rPr>
      </w:pPr>
    </w:p>
    <w:p w14:paraId="2D9A2423" w14:textId="0D692224" w:rsidR="0028124D" w:rsidRDefault="0028124D" w:rsidP="006C0B77">
      <w:pPr>
        <w:spacing w:after="0"/>
        <w:ind w:firstLine="709"/>
        <w:jc w:val="both"/>
        <w:rPr>
          <w:lang w:val="uk-UA"/>
        </w:rPr>
      </w:pPr>
    </w:p>
    <w:p w14:paraId="154F873D" w14:textId="2703DF91" w:rsidR="0028124D" w:rsidRDefault="0028124D" w:rsidP="006C0B77">
      <w:pPr>
        <w:spacing w:after="0"/>
        <w:ind w:firstLine="709"/>
        <w:jc w:val="both"/>
        <w:rPr>
          <w:lang w:val="uk-UA"/>
        </w:rPr>
      </w:pPr>
    </w:p>
    <w:p w14:paraId="5AA47E30" w14:textId="7389E056" w:rsidR="0028124D" w:rsidRDefault="0028124D" w:rsidP="006C0B77">
      <w:pPr>
        <w:spacing w:after="0"/>
        <w:ind w:firstLine="709"/>
        <w:jc w:val="both"/>
        <w:rPr>
          <w:lang w:val="uk-UA"/>
        </w:rPr>
      </w:pPr>
    </w:p>
    <w:p w14:paraId="0B702879" w14:textId="68CD6CB7" w:rsidR="0028124D" w:rsidRDefault="0028124D" w:rsidP="006C0B77">
      <w:pPr>
        <w:spacing w:after="0"/>
        <w:ind w:firstLine="709"/>
        <w:jc w:val="both"/>
        <w:rPr>
          <w:lang w:val="uk-UA"/>
        </w:rPr>
      </w:pPr>
    </w:p>
    <w:p w14:paraId="2BD0A29D" w14:textId="7DFB3DB8" w:rsidR="0028124D" w:rsidRDefault="0028124D" w:rsidP="006C0B77">
      <w:pPr>
        <w:spacing w:after="0"/>
        <w:ind w:firstLine="709"/>
        <w:jc w:val="both"/>
        <w:rPr>
          <w:lang w:val="uk-UA"/>
        </w:rPr>
      </w:pPr>
    </w:p>
    <w:p w14:paraId="2A7BB022" w14:textId="6620DE98" w:rsidR="0028124D" w:rsidRDefault="0028124D" w:rsidP="006C0B77">
      <w:pPr>
        <w:spacing w:after="0"/>
        <w:ind w:firstLine="709"/>
        <w:jc w:val="both"/>
        <w:rPr>
          <w:lang w:val="uk-UA"/>
        </w:rPr>
      </w:pPr>
    </w:p>
    <w:p w14:paraId="160849AF" w14:textId="56FF7798" w:rsidR="0028124D" w:rsidRDefault="0028124D" w:rsidP="006C0B77">
      <w:pPr>
        <w:spacing w:after="0"/>
        <w:ind w:firstLine="709"/>
        <w:jc w:val="both"/>
        <w:rPr>
          <w:lang w:val="uk-UA"/>
        </w:rPr>
      </w:pPr>
    </w:p>
    <w:p w14:paraId="74A64DFD" w14:textId="77777777" w:rsidR="0028124D" w:rsidRPr="001B0B83" w:rsidRDefault="0028124D" w:rsidP="0028124D">
      <w:pPr>
        <w:rPr>
          <w:rFonts w:cs="Times New Roman"/>
          <w:sz w:val="24"/>
          <w:szCs w:val="24"/>
        </w:rPr>
      </w:pPr>
      <w:r w:rsidRPr="001B0B83">
        <w:rPr>
          <w:rStyle w:val="st46"/>
          <w:rFonts w:cs="Times New Roman"/>
          <w:sz w:val="24"/>
          <w:szCs w:val="24"/>
        </w:rPr>
        <w:t>{</w:t>
      </w:r>
      <w:proofErr w:type="spellStart"/>
      <w:r w:rsidRPr="001B0B83">
        <w:rPr>
          <w:rStyle w:val="st46"/>
          <w:rFonts w:cs="Times New Roman"/>
          <w:sz w:val="24"/>
          <w:szCs w:val="24"/>
        </w:rPr>
        <w:t>Додаток</w:t>
      </w:r>
      <w:proofErr w:type="spellEnd"/>
      <w:r w:rsidRPr="001B0B83">
        <w:rPr>
          <w:rStyle w:val="st46"/>
          <w:rFonts w:cs="Times New Roman"/>
          <w:sz w:val="24"/>
          <w:szCs w:val="24"/>
        </w:rPr>
        <w:t xml:space="preserve"> </w:t>
      </w:r>
      <w:r>
        <w:rPr>
          <w:rStyle w:val="st46"/>
          <w:rFonts w:cs="Times New Roman"/>
          <w:sz w:val="24"/>
          <w:szCs w:val="24"/>
        </w:rPr>
        <w:t>30</w:t>
      </w:r>
      <w:r w:rsidRPr="001B0B83">
        <w:rPr>
          <w:rStyle w:val="st46"/>
          <w:rFonts w:cs="Times New Roman"/>
          <w:sz w:val="24"/>
          <w:szCs w:val="24"/>
        </w:rPr>
        <w:t xml:space="preserve"> в </w:t>
      </w:r>
      <w:proofErr w:type="spellStart"/>
      <w:r w:rsidRPr="001B0B83">
        <w:rPr>
          <w:rStyle w:val="st46"/>
          <w:rFonts w:cs="Times New Roman"/>
          <w:sz w:val="24"/>
          <w:szCs w:val="24"/>
        </w:rPr>
        <w:t>редакції</w:t>
      </w:r>
      <w:proofErr w:type="spellEnd"/>
      <w:r w:rsidRPr="001B0B83">
        <w:rPr>
          <w:rStyle w:val="st46"/>
          <w:rFonts w:cs="Times New Roman"/>
          <w:sz w:val="24"/>
          <w:szCs w:val="24"/>
        </w:rPr>
        <w:t xml:space="preserve"> Наказу </w:t>
      </w:r>
      <w:proofErr w:type="spellStart"/>
      <w:r w:rsidRPr="001B0B83">
        <w:rPr>
          <w:rStyle w:val="st46"/>
          <w:rFonts w:cs="Times New Roman"/>
          <w:sz w:val="24"/>
          <w:szCs w:val="24"/>
        </w:rPr>
        <w:t>Міністерства</w:t>
      </w:r>
      <w:proofErr w:type="spellEnd"/>
      <w:r w:rsidRPr="001B0B83">
        <w:rPr>
          <w:rStyle w:val="st46"/>
          <w:rFonts w:cs="Times New Roman"/>
          <w:sz w:val="24"/>
          <w:szCs w:val="24"/>
        </w:rPr>
        <w:t xml:space="preserve"> </w:t>
      </w:r>
      <w:proofErr w:type="spellStart"/>
      <w:r w:rsidRPr="001B0B83">
        <w:rPr>
          <w:rStyle w:val="st46"/>
          <w:rFonts w:cs="Times New Roman"/>
          <w:sz w:val="24"/>
          <w:szCs w:val="24"/>
        </w:rPr>
        <w:t>фінансів</w:t>
      </w:r>
      <w:proofErr w:type="spellEnd"/>
      <w:r w:rsidRPr="001B0B83">
        <w:rPr>
          <w:rStyle w:val="st46"/>
          <w:rFonts w:cs="Times New Roman"/>
          <w:sz w:val="24"/>
          <w:szCs w:val="24"/>
        </w:rPr>
        <w:t xml:space="preserve"> </w:t>
      </w:r>
      <w:r w:rsidRPr="001B0B83">
        <w:rPr>
          <w:rStyle w:val="st121"/>
          <w:rFonts w:cs="Times New Roman"/>
          <w:sz w:val="24"/>
          <w:szCs w:val="24"/>
          <w:lang w:val="x-none"/>
        </w:rPr>
        <w:t>№ 513 від 09.10.2025</w:t>
      </w:r>
      <w:r w:rsidRPr="001B0B83">
        <w:rPr>
          <w:rStyle w:val="st46"/>
          <w:rFonts w:cs="Times New Roman"/>
          <w:sz w:val="24"/>
          <w:szCs w:val="24"/>
          <w:lang w:val="x-none"/>
        </w:rPr>
        <w:t>}</w:t>
      </w:r>
    </w:p>
    <w:p w14:paraId="219BE4D4" w14:textId="77777777" w:rsidR="0028124D" w:rsidRPr="00713C49" w:rsidRDefault="0028124D" w:rsidP="006C0B77">
      <w:pPr>
        <w:spacing w:after="0"/>
        <w:ind w:firstLine="709"/>
        <w:jc w:val="both"/>
        <w:rPr>
          <w:lang w:val="uk-UA"/>
        </w:rPr>
      </w:pPr>
    </w:p>
    <w:sectPr w:rsidR="0028124D" w:rsidRPr="00713C49" w:rsidSect="0017389C">
      <w:pgSz w:w="16838" w:h="11906" w:orient="landscape" w:code="9"/>
      <w:pgMar w:top="567" w:right="567" w:bottom="567" w:left="567" w:header="708" w:footer="708"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4EF57" w14:textId="77777777" w:rsidR="00B67E8C" w:rsidRDefault="00B67E8C" w:rsidP="002B1C4B">
      <w:pPr>
        <w:spacing w:after="0"/>
      </w:pPr>
      <w:r>
        <w:separator/>
      </w:r>
    </w:p>
  </w:endnote>
  <w:endnote w:type="continuationSeparator" w:id="0">
    <w:p w14:paraId="68D6FFDB" w14:textId="77777777" w:rsidR="00B67E8C" w:rsidRDefault="00B67E8C" w:rsidP="002B1C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55E05" w14:textId="77777777" w:rsidR="00B67E8C" w:rsidRDefault="00B67E8C" w:rsidP="002B1C4B">
      <w:pPr>
        <w:spacing w:after="0"/>
      </w:pPr>
      <w:r>
        <w:separator/>
      </w:r>
    </w:p>
  </w:footnote>
  <w:footnote w:type="continuationSeparator" w:id="0">
    <w:p w14:paraId="79F7914B" w14:textId="77777777" w:rsidR="00B67E8C" w:rsidRDefault="00B67E8C" w:rsidP="002B1C4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C49"/>
    <w:rsid w:val="000B4994"/>
    <w:rsid w:val="0017389C"/>
    <w:rsid w:val="001C6C60"/>
    <w:rsid w:val="001F00AC"/>
    <w:rsid w:val="0028124D"/>
    <w:rsid w:val="002B1C4B"/>
    <w:rsid w:val="006C0B77"/>
    <w:rsid w:val="00713C49"/>
    <w:rsid w:val="0077611D"/>
    <w:rsid w:val="008242FF"/>
    <w:rsid w:val="00870751"/>
    <w:rsid w:val="00922C48"/>
    <w:rsid w:val="0093753A"/>
    <w:rsid w:val="00B67E8C"/>
    <w:rsid w:val="00B915B7"/>
    <w:rsid w:val="00D26AF2"/>
    <w:rsid w:val="00E976F9"/>
    <w:rsid w:val="00EA59DF"/>
    <w:rsid w:val="00EE4070"/>
    <w:rsid w:val="00F12C76"/>
    <w:rsid w:val="00FF1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94F9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713C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13C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13C4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713C4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713C4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713C4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713C4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713C4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713C4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3C49"/>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713C49"/>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713C49"/>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713C49"/>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713C49"/>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713C49"/>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713C49"/>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713C49"/>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713C49"/>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713C4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13C49"/>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713C4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713C49"/>
    <w:rPr>
      <w:rFonts w:eastAsiaTheme="majorEastAsia" w:cstheme="majorBidi"/>
      <w:color w:val="595959" w:themeColor="text1" w:themeTint="A6"/>
      <w:spacing w:val="15"/>
      <w:kern w:val="0"/>
      <w:sz w:val="28"/>
      <w:szCs w:val="28"/>
      <w14:ligatures w14:val="none"/>
    </w:rPr>
  </w:style>
  <w:style w:type="paragraph" w:styleId="a7">
    <w:name w:val="Quote"/>
    <w:basedOn w:val="a"/>
    <w:next w:val="a"/>
    <w:link w:val="a8"/>
    <w:uiPriority w:val="29"/>
    <w:qFormat/>
    <w:rsid w:val="00713C49"/>
    <w:pPr>
      <w:spacing w:before="160"/>
      <w:jc w:val="center"/>
    </w:pPr>
    <w:rPr>
      <w:i/>
      <w:iCs/>
      <w:color w:val="404040" w:themeColor="text1" w:themeTint="BF"/>
    </w:rPr>
  </w:style>
  <w:style w:type="character" w:customStyle="1" w:styleId="a8">
    <w:name w:val="Цитата Знак"/>
    <w:basedOn w:val="a0"/>
    <w:link w:val="a7"/>
    <w:uiPriority w:val="29"/>
    <w:rsid w:val="00713C49"/>
    <w:rPr>
      <w:rFonts w:ascii="Times New Roman" w:hAnsi="Times New Roman"/>
      <w:i/>
      <w:iCs/>
      <w:color w:val="404040" w:themeColor="text1" w:themeTint="BF"/>
      <w:kern w:val="0"/>
      <w:sz w:val="28"/>
      <w14:ligatures w14:val="none"/>
    </w:rPr>
  </w:style>
  <w:style w:type="paragraph" w:styleId="a9">
    <w:name w:val="List Paragraph"/>
    <w:basedOn w:val="a"/>
    <w:uiPriority w:val="34"/>
    <w:qFormat/>
    <w:rsid w:val="00713C49"/>
    <w:pPr>
      <w:ind w:left="720"/>
      <w:contextualSpacing/>
    </w:pPr>
  </w:style>
  <w:style w:type="character" w:styleId="aa">
    <w:name w:val="Intense Emphasis"/>
    <w:basedOn w:val="a0"/>
    <w:uiPriority w:val="21"/>
    <w:qFormat/>
    <w:rsid w:val="00713C49"/>
    <w:rPr>
      <w:i/>
      <w:iCs/>
      <w:color w:val="2F5496" w:themeColor="accent1" w:themeShade="BF"/>
    </w:rPr>
  </w:style>
  <w:style w:type="paragraph" w:styleId="ab">
    <w:name w:val="Intense Quote"/>
    <w:basedOn w:val="a"/>
    <w:next w:val="a"/>
    <w:link w:val="ac"/>
    <w:uiPriority w:val="30"/>
    <w:qFormat/>
    <w:rsid w:val="00713C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713C49"/>
    <w:rPr>
      <w:rFonts w:ascii="Times New Roman" w:hAnsi="Times New Roman"/>
      <w:i/>
      <w:iCs/>
      <w:color w:val="2F5496" w:themeColor="accent1" w:themeShade="BF"/>
      <w:kern w:val="0"/>
      <w:sz w:val="28"/>
      <w14:ligatures w14:val="none"/>
    </w:rPr>
  </w:style>
  <w:style w:type="character" w:styleId="ad">
    <w:name w:val="Intense Reference"/>
    <w:basedOn w:val="a0"/>
    <w:uiPriority w:val="32"/>
    <w:qFormat/>
    <w:rsid w:val="00713C49"/>
    <w:rPr>
      <w:b/>
      <w:bCs/>
      <w:smallCaps/>
      <w:color w:val="2F5496" w:themeColor="accent1" w:themeShade="BF"/>
      <w:spacing w:val="5"/>
    </w:rPr>
  </w:style>
  <w:style w:type="paragraph" w:customStyle="1" w:styleId="Ch6">
    <w:name w:val="Додаток №_горизонт (Ch_6 Міністерства)"/>
    <w:basedOn w:val="a"/>
    <w:uiPriority w:val="99"/>
    <w:rsid w:val="00713C49"/>
    <w:pPr>
      <w:keepNext/>
      <w:keepLines/>
      <w:widowControl w:val="0"/>
      <w:tabs>
        <w:tab w:val="right" w:leader="underscore" w:pos="11514"/>
      </w:tabs>
      <w:suppressAutoHyphens/>
      <w:autoSpaceDE w:val="0"/>
      <w:autoSpaceDN w:val="0"/>
      <w:adjustRightInd w:val="0"/>
      <w:spacing w:before="397" w:after="0" w:line="257" w:lineRule="auto"/>
      <w:ind w:left="8050"/>
      <w:textAlignment w:val="center"/>
    </w:pPr>
    <w:rPr>
      <w:rFonts w:ascii="Pragmatica Book" w:eastAsiaTheme="minorEastAsia" w:hAnsi="Pragmatica Book" w:cs="Pragmatica Book"/>
      <w:color w:val="000000"/>
      <w:w w:val="90"/>
      <w:sz w:val="17"/>
      <w:szCs w:val="17"/>
      <w:lang w:val="uk-UA" w:eastAsia="uk-UA"/>
    </w:rPr>
  </w:style>
  <w:style w:type="paragraph" w:customStyle="1" w:styleId="Ch60">
    <w:name w:val="Форма (Ch_6 Міністерства)"/>
    <w:basedOn w:val="a"/>
    <w:uiPriority w:val="99"/>
    <w:rsid w:val="00713C49"/>
    <w:pPr>
      <w:keepNext/>
      <w:keepLines/>
      <w:widowControl w:val="0"/>
      <w:tabs>
        <w:tab w:val="right" w:pos="7710"/>
      </w:tabs>
      <w:suppressAutoHyphens/>
      <w:autoSpaceDE w:val="0"/>
      <w:autoSpaceDN w:val="0"/>
      <w:adjustRightInd w:val="0"/>
      <w:spacing w:before="227" w:after="0" w:line="257" w:lineRule="auto"/>
      <w:ind w:left="4819"/>
      <w:jc w:val="right"/>
      <w:textAlignment w:val="center"/>
    </w:pPr>
    <w:rPr>
      <w:rFonts w:ascii="Pragmatica Bold" w:eastAsiaTheme="minorEastAsia" w:hAnsi="Pragmatica Bold" w:cs="Pragmatica Bold"/>
      <w:b/>
      <w:bCs/>
      <w:color w:val="000000"/>
      <w:w w:val="90"/>
      <w:sz w:val="17"/>
      <w:szCs w:val="17"/>
      <w:lang w:val="uk-UA" w:eastAsia="uk-UA"/>
    </w:rPr>
  </w:style>
  <w:style w:type="paragraph" w:customStyle="1" w:styleId="SnoskaSNOSKI">
    <w:name w:val="Snoska_цифрагоризонт (SNOSKI)"/>
    <w:basedOn w:val="a"/>
    <w:uiPriority w:val="99"/>
    <w:rsid w:val="00713C49"/>
    <w:pPr>
      <w:widowControl w:val="0"/>
      <w:pBdr>
        <w:top w:val="single" w:sz="4" w:space="11" w:color="auto"/>
      </w:pBdr>
      <w:tabs>
        <w:tab w:val="left" w:pos="60"/>
        <w:tab w:val="left" w:pos="119"/>
        <w:tab w:val="left" w:pos="180"/>
        <w:tab w:val="left" w:pos="240"/>
        <w:tab w:val="left" w:pos="300"/>
        <w:tab w:val="left" w:pos="360"/>
        <w:tab w:val="left" w:pos="420"/>
        <w:tab w:val="left" w:pos="480"/>
        <w:tab w:val="left" w:pos="540"/>
        <w:tab w:val="left" w:pos="600"/>
        <w:tab w:val="left" w:pos="660"/>
        <w:tab w:val="left" w:pos="720"/>
        <w:tab w:val="left" w:pos="780"/>
        <w:tab w:val="left" w:pos="840"/>
        <w:tab w:val="left" w:pos="900"/>
        <w:tab w:val="left" w:pos="960"/>
        <w:tab w:val="left" w:pos="1020"/>
        <w:tab w:val="left" w:pos="1080"/>
        <w:tab w:val="left" w:pos="1140"/>
        <w:tab w:val="right" w:pos="9213"/>
      </w:tabs>
      <w:autoSpaceDE w:val="0"/>
      <w:autoSpaceDN w:val="0"/>
      <w:adjustRightInd w:val="0"/>
      <w:spacing w:after="0" w:line="257" w:lineRule="auto"/>
      <w:jc w:val="both"/>
      <w:textAlignment w:val="center"/>
    </w:pPr>
    <w:rPr>
      <w:rFonts w:ascii="Pragmatica Book" w:eastAsiaTheme="minorEastAsia" w:hAnsi="Pragmatica Book" w:cs="Pragmatica Book"/>
      <w:color w:val="000000"/>
      <w:w w:val="90"/>
      <w:sz w:val="15"/>
      <w:szCs w:val="15"/>
      <w:lang w:val="uk-UA" w:eastAsia="uk-UA"/>
    </w:rPr>
  </w:style>
  <w:style w:type="paragraph" w:styleId="ae">
    <w:name w:val="header"/>
    <w:basedOn w:val="a"/>
    <w:link w:val="af"/>
    <w:uiPriority w:val="99"/>
    <w:unhideWhenUsed/>
    <w:rsid w:val="002B1C4B"/>
    <w:pPr>
      <w:tabs>
        <w:tab w:val="center" w:pos="4677"/>
        <w:tab w:val="right" w:pos="9355"/>
      </w:tabs>
      <w:spacing w:after="0"/>
    </w:pPr>
  </w:style>
  <w:style w:type="character" w:customStyle="1" w:styleId="af">
    <w:name w:val="Верхній колонтитул Знак"/>
    <w:basedOn w:val="a0"/>
    <w:link w:val="ae"/>
    <w:uiPriority w:val="99"/>
    <w:rsid w:val="002B1C4B"/>
    <w:rPr>
      <w:rFonts w:ascii="Times New Roman" w:hAnsi="Times New Roman"/>
      <w:kern w:val="0"/>
      <w:sz w:val="28"/>
      <w14:ligatures w14:val="none"/>
    </w:rPr>
  </w:style>
  <w:style w:type="paragraph" w:styleId="af0">
    <w:name w:val="footer"/>
    <w:basedOn w:val="a"/>
    <w:link w:val="af1"/>
    <w:uiPriority w:val="99"/>
    <w:unhideWhenUsed/>
    <w:rsid w:val="002B1C4B"/>
    <w:pPr>
      <w:tabs>
        <w:tab w:val="center" w:pos="4677"/>
        <w:tab w:val="right" w:pos="9355"/>
      </w:tabs>
      <w:spacing w:after="0"/>
    </w:pPr>
  </w:style>
  <w:style w:type="character" w:customStyle="1" w:styleId="af1">
    <w:name w:val="Нижній колонтитул Знак"/>
    <w:basedOn w:val="a0"/>
    <w:link w:val="af0"/>
    <w:uiPriority w:val="99"/>
    <w:rsid w:val="002B1C4B"/>
    <w:rPr>
      <w:rFonts w:ascii="Times New Roman" w:hAnsi="Times New Roman"/>
      <w:kern w:val="0"/>
      <w:sz w:val="28"/>
      <w14:ligatures w14:val="none"/>
    </w:rPr>
  </w:style>
  <w:style w:type="character" w:customStyle="1" w:styleId="st46">
    <w:name w:val="st46"/>
    <w:uiPriority w:val="99"/>
    <w:rsid w:val="0028124D"/>
    <w:rPr>
      <w:i/>
      <w:iCs/>
      <w:color w:val="000000"/>
    </w:rPr>
  </w:style>
  <w:style w:type="character" w:customStyle="1" w:styleId="st121">
    <w:name w:val="st121"/>
    <w:uiPriority w:val="99"/>
    <w:rsid w:val="0028124D"/>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1992</Words>
  <Characters>1136</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2026-04-16T13:39:00Z</dcterms:created>
  <dcterms:modified xsi:type="dcterms:W3CDTF">2026-04-16T13:39:00Z</dcterms:modified>
</cp:coreProperties>
</file>