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D5C48" w14:textId="77777777" w:rsidR="001C1B01" w:rsidRPr="0050011B" w:rsidRDefault="001C1B01" w:rsidP="001C1B01">
      <w:pPr>
        <w:pStyle w:val="af1"/>
        <w:jc w:val="both"/>
        <w:rPr>
          <w:lang w:val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1"/>
      </w:tblGrid>
      <w:tr w:rsidR="0050011B" w:rsidRPr="0050011B" w14:paraId="268D701E" w14:textId="77777777" w:rsidTr="00276273">
        <w:trPr>
          <w:tblCellSpacing w:w="18" w:type="dxa"/>
        </w:trPr>
        <w:tc>
          <w:tcPr>
            <w:tcW w:w="5000" w:type="pct"/>
            <w:hideMark/>
          </w:tcPr>
          <w:p w14:paraId="7FBA3B9A" w14:textId="77777777" w:rsidR="001C1B01" w:rsidRPr="0050011B" w:rsidRDefault="001C1B01" w:rsidP="00276273">
            <w:pPr>
              <w:pStyle w:val="af1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ЗАТВЕРДЖЕНО</w:t>
            </w:r>
            <w:r w:rsidRPr="0050011B">
              <w:rPr>
                <w:lang w:val="uk-UA"/>
              </w:rPr>
              <w:br/>
              <w:t>Наказ Міністерства фінансів України</w:t>
            </w:r>
            <w:r w:rsidRPr="0050011B">
              <w:rPr>
                <w:lang w:val="uk-UA"/>
              </w:rPr>
              <w:br/>
              <w:t>07 червня 2023 року N 302</w:t>
            </w:r>
          </w:p>
        </w:tc>
      </w:tr>
    </w:tbl>
    <w:p w14:paraId="1B12FB67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br w:type="textWrapping" w:clear="all"/>
      </w:r>
    </w:p>
    <w:p w14:paraId="4243635A" w14:textId="77777777" w:rsidR="001C1B01" w:rsidRPr="0050011B" w:rsidRDefault="001C1B01" w:rsidP="001C1B01">
      <w:pPr>
        <w:pStyle w:val="3"/>
        <w:jc w:val="center"/>
        <w:rPr>
          <w:rFonts w:eastAsia="Times New Roman"/>
        </w:rPr>
      </w:pPr>
      <w:r w:rsidRPr="0050011B">
        <w:rPr>
          <w:rFonts w:eastAsia="Times New Roman"/>
        </w:rPr>
        <w:t>Зміни</w:t>
      </w:r>
      <w:r w:rsidRPr="0050011B">
        <w:rPr>
          <w:rFonts w:eastAsia="Times New Roman"/>
        </w:rPr>
        <w:br/>
        <w:t>до додатків до форми Податкової декларації з податку на прибуток підприємств, затвердженої наказом Міністерства фінансів України від 20 жовтня 2015 року N 897, зареєстрованим у Міністерстві юстиції України 11 листопада 2015 року за N 1415/27860 (у редакції наказу Міністерства фінансів України від 20 лютого 2023 року N 101)</w:t>
      </w:r>
    </w:p>
    <w:p w14:paraId="2E4751BB" w14:textId="77777777" w:rsidR="001C1B01" w:rsidRPr="0050011B" w:rsidRDefault="001C1B01" w:rsidP="001C1B01">
      <w:pPr>
        <w:pStyle w:val="af1"/>
        <w:jc w:val="right"/>
        <w:rPr>
          <w:rFonts w:eastAsiaTheme="minorEastAsia"/>
          <w:lang w:val="uk-UA"/>
        </w:rPr>
      </w:pPr>
      <w:r w:rsidRPr="0050011B">
        <w:rPr>
          <w:lang w:val="uk-UA"/>
        </w:rPr>
        <w:t>(заголовок Змін із змінами, внесеними згідно з наказом</w:t>
      </w:r>
      <w:r w:rsidRPr="0050011B">
        <w:rPr>
          <w:lang w:val="uk-UA"/>
        </w:rPr>
        <w:br/>
        <w:t> Міністерства фінансів України від 28.06.2023 р. N 353)</w:t>
      </w:r>
    </w:p>
    <w:p w14:paraId="01174B34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1. Примітку 8 до додатка ТЦ до цієї Податкової декларації викласти в такій редакції:</w:t>
      </w:r>
    </w:p>
    <w:p w14:paraId="75ACBC50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  <w:r w:rsidRPr="0050011B">
        <w:rPr>
          <w:vertAlign w:val="superscript"/>
          <w:lang w:val="uk-UA"/>
        </w:rPr>
        <w:t xml:space="preserve"> 8</w:t>
      </w:r>
      <w:r w:rsidRPr="0050011B">
        <w:rPr>
          <w:lang w:val="uk-UA"/>
        </w:rPr>
        <w:t xml:space="preserve"> Сумарне значення:</w:t>
      </w:r>
      <w:bookmarkStart w:id="0" w:name="_GoBack"/>
      <w:bookmarkEnd w:id="0"/>
    </w:p>
    <w:p w14:paraId="7EC152A1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Графи 17 відображається у рядку 3.1.3 ТЦ додатка РІ до рядка 03 РІ Податкової декларації з податку на прибуток підприємств та/або у графі 3 рядка 37 додатка ДІЯ до Податкової декларації з податку на прибуток підприємств (рядок 06.3 ДІЯ);</w:t>
      </w:r>
    </w:p>
    <w:p w14:paraId="598BE2BF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Графи 19 відображається у рядку 3.1.4 ТЦ додатка РІ до рядка 03 РІ Податкової декларації з податку на прибуток підприємств та/або у графі 3 рядка 38 додатка ДІЯ до Податкової декларації з податку на прибуток підприємств (рядок 06.3 ДІЯ).".</w:t>
      </w:r>
    </w:p>
    <w:p w14:paraId="6686A7C1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2. Рядок 4.1.1 розділу 4 "Інші різниці (стаття 141 розділу III, стаття 39 розділу I, стаття 123</w:t>
      </w:r>
      <w:r w:rsidRPr="0050011B">
        <w:rPr>
          <w:vertAlign w:val="superscript"/>
          <w:lang w:val="uk-UA"/>
        </w:rPr>
        <w:t xml:space="preserve"> 1</w:t>
      </w:r>
      <w:r w:rsidRPr="0050011B">
        <w:rPr>
          <w:lang w:val="uk-UA"/>
        </w:rPr>
        <w:t xml:space="preserve"> розділу II, підрозділ 4 розділу XX Податкового кодексу України)" додатка РІ до рядка 03 РІ цієї Податкової декларації викласти в такій редакції:</w:t>
      </w:r>
    </w:p>
    <w:p w14:paraId="56DE864E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(абзац перший пункту 2 із змінами, внесеними згідно з</w:t>
      </w:r>
      <w:r w:rsidRPr="0050011B">
        <w:rPr>
          <w:lang w:val="uk-UA"/>
        </w:rPr>
        <w:br/>
        <w:t> наказом Міністерства фінансів України від 28.06.2023 р. N 353)</w:t>
      </w:r>
    </w:p>
    <w:p w14:paraId="31D34D75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3183"/>
        <w:gridCol w:w="704"/>
        <w:gridCol w:w="894"/>
        <w:gridCol w:w="3469"/>
        <w:gridCol w:w="722"/>
      </w:tblGrid>
      <w:tr w:rsidR="0050011B" w:rsidRPr="0050011B" w14:paraId="2F834200" w14:textId="77777777" w:rsidTr="00276273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F434B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4.1.1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55A28" w14:textId="77777777" w:rsidR="001C1B01" w:rsidRPr="0050011B" w:rsidRDefault="001C1B01" w:rsidP="00276273">
            <w:pPr>
              <w:pStyle w:val="af1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 xml:space="preserve">Позитивна різниця між приростом (убутком) сформованих у відповідному звітному періоді відповідно до міжнародних стандартів фінансової звітності страховими резервами, крім тих, що не впливають на формування фінансового результату до оподаткування страховика (за вирахуванням прав вимоги до </w:t>
            </w:r>
            <w:proofErr w:type="spellStart"/>
            <w:r w:rsidRPr="0050011B">
              <w:rPr>
                <w:lang w:val="uk-UA"/>
              </w:rPr>
              <w:t>перестраховиків</w:t>
            </w:r>
            <w:proofErr w:type="spellEnd"/>
            <w:r w:rsidRPr="0050011B">
              <w:rPr>
                <w:lang w:val="uk-UA"/>
              </w:rPr>
              <w:t xml:space="preserve"> у страхових резервах), та приростом </w:t>
            </w:r>
            <w:r w:rsidRPr="0050011B">
              <w:rPr>
                <w:lang w:val="uk-UA"/>
              </w:rPr>
              <w:lastRenderedPageBreak/>
              <w:t xml:space="preserve">(убутком) відповідних резервів, розрахованих за методикою, визначеною Національним банком України (за вирахуванням прав вимоги до </w:t>
            </w:r>
            <w:proofErr w:type="spellStart"/>
            <w:r w:rsidRPr="0050011B">
              <w:rPr>
                <w:lang w:val="uk-UA"/>
              </w:rPr>
              <w:t>перестраховиків</w:t>
            </w:r>
            <w:proofErr w:type="spellEnd"/>
            <w:r w:rsidRPr="0050011B">
              <w:rPr>
                <w:lang w:val="uk-UA"/>
              </w:rPr>
              <w:t xml:space="preserve"> у страхових резервах) (підпункт 141.1.3 пункту 141.1 статті 141 розділу III Податкового кодексу України)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07610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E333A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4.2.1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3C19" w14:textId="77777777" w:rsidR="001C1B01" w:rsidRPr="0050011B" w:rsidRDefault="001C1B01" w:rsidP="00276273">
            <w:pPr>
              <w:pStyle w:val="af1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 xml:space="preserve">Від'ємна різниця між приростом (убутком) сформованих у відповідному звітному періоді відповідно до міжнародних стандартів фінансової звітності страховими резервами, крім тих, що не впливають на формування фінансового результату до оподаткування страховика (за вирахуванням прав вимоги до </w:t>
            </w:r>
            <w:proofErr w:type="spellStart"/>
            <w:r w:rsidRPr="0050011B">
              <w:rPr>
                <w:lang w:val="uk-UA"/>
              </w:rPr>
              <w:t>перестраховиків</w:t>
            </w:r>
            <w:proofErr w:type="spellEnd"/>
            <w:r w:rsidRPr="0050011B">
              <w:rPr>
                <w:lang w:val="uk-UA"/>
              </w:rPr>
              <w:t xml:space="preserve"> у страхових резервах), та приростом (убутком) відповідних резервів, </w:t>
            </w:r>
            <w:r w:rsidRPr="0050011B">
              <w:rPr>
                <w:lang w:val="uk-UA"/>
              </w:rPr>
              <w:lastRenderedPageBreak/>
              <w:t xml:space="preserve">розрахованих за методикою, визначеною Національним банком України (за вирахуванням прав вимоги до </w:t>
            </w:r>
            <w:proofErr w:type="spellStart"/>
            <w:r w:rsidRPr="0050011B">
              <w:rPr>
                <w:lang w:val="uk-UA"/>
              </w:rPr>
              <w:t>перестраховиків</w:t>
            </w:r>
            <w:proofErr w:type="spellEnd"/>
            <w:r w:rsidRPr="0050011B">
              <w:rPr>
                <w:lang w:val="uk-UA"/>
              </w:rPr>
              <w:t xml:space="preserve"> у страхових резервах) (підпункт 141.1.4 пункту 141.1 статті 141 розділу III Податкового кодексу України)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E40A8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lastRenderedPageBreak/>
              <w:t> </w:t>
            </w:r>
          </w:p>
        </w:tc>
      </w:tr>
    </w:tbl>
    <w:p w14:paraId="5987D317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lastRenderedPageBreak/>
        <w:t>".</w:t>
      </w:r>
    </w:p>
    <w:p w14:paraId="4AB9F212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3. У додатку ЦП до рядків 4.1.3 ЦП, 4.1.4 ЦП додатка РІ до рядка 03 РІ цієї Податкової декларації:</w:t>
      </w:r>
    </w:p>
    <w:p w14:paraId="5A8878C6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рядок 01 викласти в такій редакції:</w:t>
      </w:r>
    </w:p>
    <w:p w14:paraId="408E34C6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(абзац другий пункту 3 із змінами, внесеними згідно з</w:t>
      </w:r>
      <w:r w:rsidRPr="0050011B">
        <w:rPr>
          <w:lang w:val="uk-UA"/>
        </w:rPr>
        <w:br/>
        <w:t> наказом Міністерства фінансів України від 28.06.2023 р. N 353)</w:t>
      </w:r>
    </w:p>
    <w:p w14:paraId="2A8B5889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62"/>
        <w:gridCol w:w="904"/>
        <w:gridCol w:w="922"/>
      </w:tblGrid>
      <w:tr w:rsidR="0050011B" w:rsidRPr="0050011B" w14:paraId="12526CAA" w14:textId="77777777" w:rsidTr="00276273">
        <w:trPr>
          <w:tblCellSpacing w:w="18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059FC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Дохід від продажу та інших способів відчуження цінних паперів ((сума рядків 01.1 - 01.11) + рядок 01.12 ТЦ + рядок 01.13):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8E6B2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725D1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</w:tr>
    </w:tbl>
    <w:p w14:paraId="7F1F6FE6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";</w:t>
      </w:r>
    </w:p>
    <w:p w14:paraId="7414C8F5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рядок 02 викласти в такій редакції:</w:t>
      </w:r>
    </w:p>
    <w:p w14:paraId="5C6E4953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(абзац третій пункту 3 із змінами, внесеними згідно з</w:t>
      </w:r>
      <w:r w:rsidRPr="0050011B">
        <w:rPr>
          <w:lang w:val="uk-UA"/>
        </w:rPr>
        <w:br/>
        <w:t> наказом Міністерства фінансів України від 28.06.2023 р. N 353)</w:t>
      </w:r>
    </w:p>
    <w:p w14:paraId="0DFFEBC4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62"/>
        <w:gridCol w:w="904"/>
        <w:gridCol w:w="922"/>
      </w:tblGrid>
      <w:tr w:rsidR="0050011B" w:rsidRPr="0050011B" w14:paraId="1A778BC3" w14:textId="77777777" w:rsidTr="00276273">
        <w:trPr>
          <w:tblCellSpacing w:w="18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48649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Витрати, пов'язані з придбанням цінних паперів ((сума рядків 02.1 - 02.11) + рядок 02.12 ТЦ + рядок 02.13):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06E51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5046C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</w:tr>
    </w:tbl>
    <w:p w14:paraId="77397A4C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".</w:t>
      </w:r>
    </w:p>
    <w:p w14:paraId="7315BA3B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4. У додатку КІК до рядка 06.1 КІК цієї Податкової декларації:</w:t>
      </w:r>
    </w:p>
    <w:p w14:paraId="239656C2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виключити рядок:</w:t>
      </w:r>
    </w:p>
    <w:p w14:paraId="598B048D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"/>
        <w:gridCol w:w="2023"/>
        <w:gridCol w:w="509"/>
        <w:gridCol w:w="1929"/>
        <w:gridCol w:w="415"/>
        <w:gridCol w:w="2023"/>
        <w:gridCol w:w="509"/>
        <w:gridCol w:w="1947"/>
      </w:tblGrid>
      <w:tr w:rsidR="0050011B" w:rsidRPr="0050011B" w14:paraId="0D535DFE" w14:textId="77777777" w:rsidTr="00276273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A7847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51A93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I квартал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970FC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6FDB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Півріччя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FE539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8C2E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Три квартали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39DB2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59F77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Рік</w:t>
            </w:r>
          </w:p>
        </w:tc>
      </w:tr>
    </w:tbl>
    <w:p w14:paraId="524990DF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";</w:t>
      </w:r>
    </w:p>
    <w:p w14:paraId="6B478C4E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рядок 06 викласти в такій редакції:</w:t>
      </w:r>
    </w:p>
    <w:p w14:paraId="32DE8F9D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(абзац третій пункту 4 із змінами, внесеними згідно з</w:t>
      </w:r>
      <w:r w:rsidRPr="0050011B">
        <w:rPr>
          <w:lang w:val="uk-UA"/>
        </w:rPr>
        <w:br/>
        <w:t> наказом Міністерства фінансів України від 28.06.2023 р. N 353)</w:t>
      </w:r>
    </w:p>
    <w:p w14:paraId="1F383681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62"/>
        <w:gridCol w:w="904"/>
        <w:gridCol w:w="922"/>
      </w:tblGrid>
      <w:tr w:rsidR="0050011B" w:rsidRPr="0050011B" w14:paraId="0CC61FEE" w14:textId="77777777" w:rsidTr="00276273">
        <w:trPr>
          <w:tblCellSpacing w:w="18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FBCBE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 xml:space="preserve">Сума податку на прибуток підприємств, що підлягає сплаті до бюджету контролюючою особою із прибутку контрольованої іноземної компанії (позитивне значення) (рядок 04 - (рядок 05 х ____ </w:t>
            </w:r>
            <w:r w:rsidRPr="0050011B">
              <w:rPr>
                <w:vertAlign w:val="superscript"/>
                <w:lang w:val="uk-UA"/>
              </w:rPr>
              <w:t>7</w:t>
            </w:r>
            <w:r w:rsidRPr="0050011B">
              <w:rPr>
                <w:lang w:val="uk-UA"/>
              </w:rPr>
              <w:t xml:space="preserve"> / 100)) </w:t>
            </w:r>
            <w:r w:rsidRPr="0050011B">
              <w:rPr>
                <w:vertAlign w:val="superscript"/>
                <w:lang w:val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8A29D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0F7F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</w:tr>
    </w:tbl>
    <w:p w14:paraId="27C3A80F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".</w:t>
      </w:r>
    </w:p>
    <w:p w14:paraId="1812FC93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5. У додатку ДІЯ до цієї Податкової декларації (рядок 06.3 ДІЯ):</w:t>
      </w:r>
    </w:p>
    <w:p w14:paraId="2B7064ED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рядок 3 викласти в такій редакції:</w:t>
      </w:r>
    </w:p>
    <w:p w14:paraId="11DCA38E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(абзац другий пункту 5 із змінами, внесеними згідно з</w:t>
      </w:r>
      <w:r w:rsidRPr="0050011B">
        <w:rPr>
          <w:lang w:val="uk-UA"/>
        </w:rPr>
        <w:br/>
        <w:t> наказом Міністерства фінансів України від 28.06.2023 р. N 353)</w:t>
      </w:r>
    </w:p>
    <w:p w14:paraId="587B2EB0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"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31"/>
        <w:gridCol w:w="608"/>
        <w:gridCol w:w="704"/>
        <w:gridCol w:w="2229"/>
        <w:gridCol w:w="704"/>
        <w:gridCol w:w="912"/>
      </w:tblGrid>
      <w:tr w:rsidR="0050011B" w:rsidRPr="0050011B" w14:paraId="06BCD32F" w14:textId="77777777" w:rsidTr="00276273">
        <w:trPr>
          <w:tblCellSpacing w:w="18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B074F" w14:textId="77777777" w:rsidR="001C1B01" w:rsidRPr="0050011B" w:rsidRDefault="001C1B01" w:rsidP="00276273">
            <w:pPr>
              <w:pStyle w:val="af1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Сума коштів та/або вартість майна, які повертаються (яке повертається) або виплачуються (передається) (в тому числі сума дивідендів, які нараховувалися, але не виплачувалися) власнику корпоративних прав (акцій, часток, паїв) у зв'язку з виходом такого власника зі складу учасників/акціонерів юридичної особи - емітента таких корпоративних прав (акцій, часток, паїв), ліквідацією такої юридичної особи - емітента, зворотним викупом резидентом Дія Сіті - платником податку на особливих умовах власних корпоративних прав (акцій, часток, паїв),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0E5C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79CCA" w14:textId="77777777" w:rsidR="001C1B01" w:rsidRPr="0050011B" w:rsidRDefault="001C1B01" w:rsidP="00276273">
            <w:pPr>
              <w:pStyle w:val="af1"/>
              <w:jc w:val="both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6C229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34B08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224DC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lang w:val="uk-UA"/>
              </w:rPr>
              <w:t>Х</w:t>
            </w:r>
          </w:p>
        </w:tc>
      </w:tr>
    </w:tbl>
    <w:p w14:paraId="14FE5B96" w14:textId="77777777" w:rsidR="001C1B01" w:rsidRPr="0050011B" w:rsidRDefault="001C1B01" w:rsidP="001C1B01">
      <w:pPr>
        <w:pStyle w:val="af1"/>
        <w:jc w:val="right"/>
        <w:rPr>
          <w:lang w:val="uk-UA"/>
        </w:rPr>
      </w:pPr>
      <w:r w:rsidRPr="0050011B">
        <w:rPr>
          <w:lang w:val="uk-UA"/>
        </w:rPr>
        <w:t>";</w:t>
      </w:r>
    </w:p>
    <w:p w14:paraId="7D0C5517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у примітці 1 цифри "15" замінити цифрами "17";</w:t>
      </w:r>
    </w:p>
    <w:p w14:paraId="5D295E1F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у примітці 2 цифри "17" замінити цифрами "19".</w:t>
      </w:r>
    </w:p>
    <w:p w14:paraId="170CB464" w14:textId="77777777" w:rsidR="001C1B01" w:rsidRPr="0050011B" w:rsidRDefault="001C1B01" w:rsidP="001C1B01">
      <w:pPr>
        <w:pStyle w:val="af1"/>
        <w:jc w:val="both"/>
        <w:rPr>
          <w:lang w:val="uk-UA"/>
        </w:rPr>
      </w:pPr>
      <w:r w:rsidRPr="0050011B">
        <w:rPr>
          <w:lang w:val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79"/>
        <w:gridCol w:w="4879"/>
      </w:tblGrid>
      <w:tr w:rsidR="0050011B" w:rsidRPr="0050011B" w14:paraId="17A6AE7A" w14:textId="77777777" w:rsidTr="00276273">
        <w:trPr>
          <w:tblCellSpacing w:w="18" w:type="dxa"/>
        </w:trPr>
        <w:tc>
          <w:tcPr>
            <w:tcW w:w="2500" w:type="pct"/>
            <w:vAlign w:val="bottom"/>
            <w:hideMark/>
          </w:tcPr>
          <w:p w14:paraId="5D710DBC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b/>
                <w:bCs/>
                <w:lang w:val="uk-UA"/>
              </w:rPr>
              <w:t>Директор Департаменту</w:t>
            </w:r>
            <w:r w:rsidRPr="0050011B">
              <w:rPr>
                <w:lang w:val="uk-UA"/>
              </w:rPr>
              <w:br/>
            </w:r>
            <w:r w:rsidRPr="0050011B">
              <w:rPr>
                <w:b/>
                <w:bCs/>
                <w:lang w:val="uk-UA"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14:paraId="5528C1FB" w14:textId="77777777" w:rsidR="001C1B01" w:rsidRPr="0050011B" w:rsidRDefault="001C1B01" w:rsidP="00276273">
            <w:pPr>
              <w:pStyle w:val="af1"/>
              <w:jc w:val="center"/>
              <w:rPr>
                <w:rFonts w:eastAsiaTheme="minorEastAsia"/>
                <w:lang w:val="uk-UA"/>
              </w:rPr>
            </w:pPr>
            <w:r w:rsidRPr="0050011B">
              <w:rPr>
                <w:b/>
                <w:bCs/>
                <w:lang w:val="uk-UA"/>
              </w:rPr>
              <w:t>Віктор ОВЧАРЕНКО</w:t>
            </w:r>
          </w:p>
        </w:tc>
      </w:tr>
    </w:tbl>
    <w:p w14:paraId="70802E32" w14:textId="77777777" w:rsidR="001C1B01" w:rsidRPr="0050011B" w:rsidRDefault="001C1B01" w:rsidP="001C1B01">
      <w:pPr>
        <w:pStyle w:val="af1"/>
        <w:jc w:val="both"/>
        <w:rPr>
          <w:lang w:val="uk-UA"/>
        </w:rPr>
      </w:pPr>
    </w:p>
    <w:sectPr w:rsidR="001C1B01" w:rsidRPr="0050011B" w:rsidSect="001C1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70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DF9B" w14:textId="77777777" w:rsidR="0082772D" w:rsidRDefault="0082772D" w:rsidP="00250313">
      <w:pPr>
        <w:spacing w:after="0" w:line="240" w:lineRule="auto"/>
      </w:pPr>
      <w:r>
        <w:separator/>
      </w:r>
    </w:p>
  </w:endnote>
  <w:endnote w:type="continuationSeparator" w:id="0">
    <w:p w14:paraId="3E4FEAE4" w14:textId="77777777" w:rsidR="0082772D" w:rsidRDefault="0082772D" w:rsidP="0025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4D57" w14:textId="77777777" w:rsidR="00C80D55" w:rsidRDefault="00C80D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D105" w14:textId="77777777" w:rsidR="00C80D55" w:rsidRDefault="00C80D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29174" w14:textId="77777777" w:rsidR="00C80D55" w:rsidRDefault="00C80D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23805" w14:textId="77777777" w:rsidR="0082772D" w:rsidRDefault="0082772D" w:rsidP="00250313">
      <w:pPr>
        <w:spacing w:after="0" w:line="240" w:lineRule="auto"/>
      </w:pPr>
      <w:r>
        <w:separator/>
      </w:r>
    </w:p>
  </w:footnote>
  <w:footnote w:type="continuationSeparator" w:id="0">
    <w:p w14:paraId="0D5318A4" w14:textId="77777777" w:rsidR="0082772D" w:rsidRDefault="0082772D" w:rsidP="0025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2A3A" w14:textId="77777777" w:rsidR="00C80D55" w:rsidRDefault="00C80D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898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8466691" w14:textId="30F1E5D6" w:rsidR="00250313" w:rsidRPr="00C80D55" w:rsidRDefault="0025031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80D55">
          <w:rPr>
            <w:rFonts w:ascii="Times New Roman" w:hAnsi="Times New Roman"/>
            <w:sz w:val="24"/>
            <w:szCs w:val="24"/>
          </w:rPr>
          <w:fldChar w:fldCharType="begin"/>
        </w:r>
        <w:r w:rsidRPr="00C80D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0D55">
          <w:rPr>
            <w:rFonts w:ascii="Times New Roman" w:hAnsi="Times New Roman"/>
            <w:sz w:val="24"/>
            <w:szCs w:val="24"/>
          </w:rPr>
          <w:fldChar w:fldCharType="separate"/>
        </w:r>
        <w:r w:rsidR="0050011B">
          <w:rPr>
            <w:rFonts w:ascii="Times New Roman" w:hAnsi="Times New Roman"/>
            <w:noProof/>
            <w:sz w:val="24"/>
            <w:szCs w:val="24"/>
          </w:rPr>
          <w:t>3</w:t>
        </w:r>
        <w:r w:rsidRPr="00C80D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FD9A178" w14:textId="77777777" w:rsidR="00250313" w:rsidRDefault="002503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95CD1" w14:textId="77777777" w:rsidR="00C80D55" w:rsidRDefault="00C80D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646"/>
    <w:multiLevelType w:val="hybridMultilevel"/>
    <w:tmpl w:val="2C1A6E86"/>
    <w:lvl w:ilvl="0" w:tplc="316437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D3731"/>
    <w:multiLevelType w:val="hybridMultilevel"/>
    <w:tmpl w:val="BA7E16D8"/>
    <w:lvl w:ilvl="0" w:tplc="422A99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133983"/>
    <w:multiLevelType w:val="hybridMultilevel"/>
    <w:tmpl w:val="0D9A2C0E"/>
    <w:lvl w:ilvl="0" w:tplc="0422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61E3"/>
    <w:multiLevelType w:val="hybridMultilevel"/>
    <w:tmpl w:val="C41E6D30"/>
    <w:lvl w:ilvl="0" w:tplc="D6EA5F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9A1"/>
    <w:multiLevelType w:val="hybridMultilevel"/>
    <w:tmpl w:val="E0826366"/>
    <w:lvl w:ilvl="0" w:tplc="44200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ED1088"/>
    <w:multiLevelType w:val="hybridMultilevel"/>
    <w:tmpl w:val="1884F284"/>
    <w:lvl w:ilvl="0" w:tplc="264E0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C1741B"/>
    <w:multiLevelType w:val="hybridMultilevel"/>
    <w:tmpl w:val="D57A4144"/>
    <w:lvl w:ilvl="0" w:tplc="1C38E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1A0E7A"/>
    <w:multiLevelType w:val="hybridMultilevel"/>
    <w:tmpl w:val="34445D10"/>
    <w:lvl w:ilvl="0" w:tplc="0B5E5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43"/>
    <w:rsid w:val="000023F3"/>
    <w:rsid w:val="00003495"/>
    <w:rsid w:val="000044C9"/>
    <w:rsid w:val="0000629C"/>
    <w:rsid w:val="000100E6"/>
    <w:rsid w:val="00045860"/>
    <w:rsid w:val="00071D22"/>
    <w:rsid w:val="00093802"/>
    <w:rsid w:val="000A2463"/>
    <w:rsid w:val="000B36E0"/>
    <w:rsid w:val="000C22DE"/>
    <w:rsid w:val="000C6498"/>
    <w:rsid w:val="000C655B"/>
    <w:rsid w:val="000D2FE7"/>
    <w:rsid w:val="000D43AA"/>
    <w:rsid w:val="000E4CE7"/>
    <w:rsid w:val="000E5AF7"/>
    <w:rsid w:val="000F5779"/>
    <w:rsid w:val="000F72BC"/>
    <w:rsid w:val="00100FD1"/>
    <w:rsid w:val="00137C1E"/>
    <w:rsid w:val="00140EC8"/>
    <w:rsid w:val="00151570"/>
    <w:rsid w:val="00152107"/>
    <w:rsid w:val="00153095"/>
    <w:rsid w:val="001735F0"/>
    <w:rsid w:val="00180CF0"/>
    <w:rsid w:val="0019225B"/>
    <w:rsid w:val="00193076"/>
    <w:rsid w:val="001A06DC"/>
    <w:rsid w:val="001A2117"/>
    <w:rsid w:val="001B1472"/>
    <w:rsid w:val="001C1B01"/>
    <w:rsid w:val="001D4699"/>
    <w:rsid w:val="001E384F"/>
    <w:rsid w:val="00237E87"/>
    <w:rsid w:val="00241904"/>
    <w:rsid w:val="00250313"/>
    <w:rsid w:val="00250C19"/>
    <w:rsid w:val="0028255B"/>
    <w:rsid w:val="00292B8E"/>
    <w:rsid w:val="0029676B"/>
    <w:rsid w:val="0029773D"/>
    <w:rsid w:val="002A503A"/>
    <w:rsid w:val="002A5141"/>
    <w:rsid w:val="002C350C"/>
    <w:rsid w:val="002C3514"/>
    <w:rsid w:val="002D281E"/>
    <w:rsid w:val="002E611F"/>
    <w:rsid w:val="00304F18"/>
    <w:rsid w:val="00305EAA"/>
    <w:rsid w:val="003538AD"/>
    <w:rsid w:val="00361A9F"/>
    <w:rsid w:val="003631B1"/>
    <w:rsid w:val="003705A5"/>
    <w:rsid w:val="003759A0"/>
    <w:rsid w:val="00376BC7"/>
    <w:rsid w:val="0037775B"/>
    <w:rsid w:val="00377D5E"/>
    <w:rsid w:val="0038046F"/>
    <w:rsid w:val="00380DE8"/>
    <w:rsid w:val="003822DB"/>
    <w:rsid w:val="00394A5B"/>
    <w:rsid w:val="003A066F"/>
    <w:rsid w:val="003A1482"/>
    <w:rsid w:val="003A25DB"/>
    <w:rsid w:val="003B205A"/>
    <w:rsid w:val="003B2581"/>
    <w:rsid w:val="003B4319"/>
    <w:rsid w:val="003C4B27"/>
    <w:rsid w:val="00406FC9"/>
    <w:rsid w:val="00413C7E"/>
    <w:rsid w:val="00440159"/>
    <w:rsid w:val="00445655"/>
    <w:rsid w:val="00447112"/>
    <w:rsid w:val="00454B69"/>
    <w:rsid w:val="004554F1"/>
    <w:rsid w:val="00460F3D"/>
    <w:rsid w:val="004734F4"/>
    <w:rsid w:val="00475B17"/>
    <w:rsid w:val="00493522"/>
    <w:rsid w:val="0049379B"/>
    <w:rsid w:val="004A2063"/>
    <w:rsid w:val="004A46E6"/>
    <w:rsid w:val="004C22F1"/>
    <w:rsid w:val="0050011B"/>
    <w:rsid w:val="00500C1C"/>
    <w:rsid w:val="00505ACB"/>
    <w:rsid w:val="005452DD"/>
    <w:rsid w:val="0055728C"/>
    <w:rsid w:val="00561EF5"/>
    <w:rsid w:val="00563E3D"/>
    <w:rsid w:val="00564801"/>
    <w:rsid w:val="00584FE9"/>
    <w:rsid w:val="00595FD0"/>
    <w:rsid w:val="005A23A4"/>
    <w:rsid w:val="005A2870"/>
    <w:rsid w:val="005A4939"/>
    <w:rsid w:val="005A6F8B"/>
    <w:rsid w:val="005B11E2"/>
    <w:rsid w:val="005D13C9"/>
    <w:rsid w:val="005D6AF0"/>
    <w:rsid w:val="006126CC"/>
    <w:rsid w:val="00623FFC"/>
    <w:rsid w:val="00635B5D"/>
    <w:rsid w:val="00635EDB"/>
    <w:rsid w:val="00640E5F"/>
    <w:rsid w:val="006414CA"/>
    <w:rsid w:val="00660063"/>
    <w:rsid w:val="00660C2D"/>
    <w:rsid w:val="006643EF"/>
    <w:rsid w:val="006A3E4A"/>
    <w:rsid w:val="006A75FF"/>
    <w:rsid w:val="006A7B53"/>
    <w:rsid w:val="006B624D"/>
    <w:rsid w:val="006B78C8"/>
    <w:rsid w:val="006C2A6C"/>
    <w:rsid w:val="006E67BF"/>
    <w:rsid w:val="006F0127"/>
    <w:rsid w:val="006F376C"/>
    <w:rsid w:val="007008A2"/>
    <w:rsid w:val="00734179"/>
    <w:rsid w:val="00735C96"/>
    <w:rsid w:val="007434EE"/>
    <w:rsid w:val="00743CDF"/>
    <w:rsid w:val="00753F95"/>
    <w:rsid w:val="00763F7C"/>
    <w:rsid w:val="00766A7C"/>
    <w:rsid w:val="007675AD"/>
    <w:rsid w:val="00770A1D"/>
    <w:rsid w:val="007710E7"/>
    <w:rsid w:val="00771FC4"/>
    <w:rsid w:val="00775F6A"/>
    <w:rsid w:val="00782A26"/>
    <w:rsid w:val="0078312D"/>
    <w:rsid w:val="0078710C"/>
    <w:rsid w:val="007C176E"/>
    <w:rsid w:val="007D4CC5"/>
    <w:rsid w:val="007D4D01"/>
    <w:rsid w:val="007D4ED2"/>
    <w:rsid w:val="007E034D"/>
    <w:rsid w:val="007E1B3B"/>
    <w:rsid w:val="007F03AB"/>
    <w:rsid w:val="00800250"/>
    <w:rsid w:val="00824554"/>
    <w:rsid w:val="00825E31"/>
    <w:rsid w:val="008274DC"/>
    <w:rsid w:val="0082772D"/>
    <w:rsid w:val="00851B23"/>
    <w:rsid w:val="008800C7"/>
    <w:rsid w:val="008819B0"/>
    <w:rsid w:val="00884D7A"/>
    <w:rsid w:val="008A70DB"/>
    <w:rsid w:val="008B0EC2"/>
    <w:rsid w:val="008B5009"/>
    <w:rsid w:val="008C4B87"/>
    <w:rsid w:val="008D4778"/>
    <w:rsid w:val="008D54E8"/>
    <w:rsid w:val="00907364"/>
    <w:rsid w:val="00907443"/>
    <w:rsid w:val="0091169D"/>
    <w:rsid w:val="00934627"/>
    <w:rsid w:val="00941F5F"/>
    <w:rsid w:val="00944CAF"/>
    <w:rsid w:val="009517F5"/>
    <w:rsid w:val="00953A27"/>
    <w:rsid w:val="00954C99"/>
    <w:rsid w:val="00962897"/>
    <w:rsid w:val="009633EA"/>
    <w:rsid w:val="00965DFE"/>
    <w:rsid w:val="0097602A"/>
    <w:rsid w:val="0097630F"/>
    <w:rsid w:val="00980351"/>
    <w:rsid w:val="00984E8F"/>
    <w:rsid w:val="00985B39"/>
    <w:rsid w:val="009872F7"/>
    <w:rsid w:val="009879D6"/>
    <w:rsid w:val="009A1201"/>
    <w:rsid w:val="009A6C5A"/>
    <w:rsid w:val="009B3F31"/>
    <w:rsid w:val="009B510C"/>
    <w:rsid w:val="009B532E"/>
    <w:rsid w:val="009B65EE"/>
    <w:rsid w:val="009E007B"/>
    <w:rsid w:val="009E0590"/>
    <w:rsid w:val="009E4D91"/>
    <w:rsid w:val="009E7F8E"/>
    <w:rsid w:val="009F0E7D"/>
    <w:rsid w:val="00A001C3"/>
    <w:rsid w:val="00A13EC8"/>
    <w:rsid w:val="00A15787"/>
    <w:rsid w:val="00A24853"/>
    <w:rsid w:val="00A42F05"/>
    <w:rsid w:val="00A451D4"/>
    <w:rsid w:val="00A554FB"/>
    <w:rsid w:val="00A63AD9"/>
    <w:rsid w:val="00A64712"/>
    <w:rsid w:val="00A677B3"/>
    <w:rsid w:val="00A73755"/>
    <w:rsid w:val="00A800CD"/>
    <w:rsid w:val="00A81030"/>
    <w:rsid w:val="00A90B08"/>
    <w:rsid w:val="00A92BF2"/>
    <w:rsid w:val="00A95A08"/>
    <w:rsid w:val="00A968F6"/>
    <w:rsid w:val="00A97CF1"/>
    <w:rsid w:val="00AB530C"/>
    <w:rsid w:val="00AC0D6B"/>
    <w:rsid w:val="00AC10E5"/>
    <w:rsid w:val="00AC3731"/>
    <w:rsid w:val="00AF3460"/>
    <w:rsid w:val="00AF416C"/>
    <w:rsid w:val="00B03405"/>
    <w:rsid w:val="00B06880"/>
    <w:rsid w:val="00B127C8"/>
    <w:rsid w:val="00B23159"/>
    <w:rsid w:val="00B81B37"/>
    <w:rsid w:val="00B878C0"/>
    <w:rsid w:val="00B9458B"/>
    <w:rsid w:val="00BA5408"/>
    <w:rsid w:val="00BA7340"/>
    <w:rsid w:val="00BB4FBE"/>
    <w:rsid w:val="00BB52F0"/>
    <w:rsid w:val="00BB6DD6"/>
    <w:rsid w:val="00BC03FB"/>
    <w:rsid w:val="00BC4615"/>
    <w:rsid w:val="00BD7032"/>
    <w:rsid w:val="00BD764C"/>
    <w:rsid w:val="00BE282A"/>
    <w:rsid w:val="00BF1228"/>
    <w:rsid w:val="00BF54E7"/>
    <w:rsid w:val="00C00554"/>
    <w:rsid w:val="00C05FDF"/>
    <w:rsid w:val="00C0619B"/>
    <w:rsid w:val="00C1492B"/>
    <w:rsid w:val="00C14CCD"/>
    <w:rsid w:val="00C17223"/>
    <w:rsid w:val="00C24DCA"/>
    <w:rsid w:val="00C3653D"/>
    <w:rsid w:val="00C37A9C"/>
    <w:rsid w:val="00C43FD1"/>
    <w:rsid w:val="00C45FE6"/>
    <w:rsid w:val="00C74C0B"/>
    <w:rsid w:val="00C80D55"/>
    <w:rsid w:val="00C844FD"/>
    <w:rsid w:val="00C92930"/>
    <w:rsid w:val="00C96A0E"/>
    <w:rsid w:val="00CA0E2C"/>
    <w:rsid w:val="00CB287E"/>
    <w:rsid w:val="00CD29B6"/>
    <w:rsid w:val="00CE2B6F"/>
    <w:rsid w:val="00CE6D43"/>
    <w:rsid w:val="00D02391"/>
    <w:rsid w:val="00D0543D"/>
    <w:rsid w:val="00D25FA9"/>
    <w:rsid w:val="00D330B6"/>
    <w:rsid w:val="00D351D0"/>
    <w:rsid w:val="00D644BA"/>
    <w:rsid w:val="00D75362"/>
    <w:rsid w:val="00D75754"/>
    <w:rsid w:val="00D865A4"/>
    <w:rsid w:val="00D90747"/>
    <w:rsid w:val="00DA4DE6"/>
    <w:rsid w:val="00DD7F1C"/>
    <w:rsid w:val="00DE5082"/>
    <w:rsid w:val="00DF4BC1"/>
    <w:rsid w:val="00E0470D"/>
    <w:rsid w:val="00E07A18"/>
    <w:rsid w:val="00E4263C"/>
    <w:rsid w:val="00E44321"/>
    <w:rsid w:val="00E7045F"/>
    <w:rsid w:val="00E75313"/>
    <w:rsid w:val="00E90551"/>
    <w:rsid w:val="00E92527"/>
    <w:rsid w:val="00E92F45"/>
    <w:rsid w:val="00EA0A4A"/>
    <w:rsid w:val="00EA7781"/>
    <w:rsid w:val="00EB41EA"/>
    <w:rsid w:val="00EC4511"/>
    <w:rsid w:val="00ED2D86"/>
    <w:rsid w:val="00ED601F"/>
    <w:rsid w:val="00EE3F63"/>
    <w:rsid w:val="00EE6B8B"/>
    <w:rsid w:val="00EF41BD"/>
    <w:rsid w:val="00EF4514"/>
    <w:rsid w:val="00F12865"/>
    <w:rsid w:val="00F14F74"/>
    <w:rsid w:val="00F212A0"/>
    <w:rsid w:val="00F2690D"/>
    <w:rsid w:val="00F46D02"/>
    <w:rsid w:val="00F6417B"/>
    <w:rsid w:val="00F7575B"/>
    <w:rsid w:val="00F7611D"/>
    <w:rsid w:val="00F7720A"/>
    <w:rsid w:val="00F87FD8"/>
    <w:rsid w:val="00F93838"/>
    <w:rsid w:val="00FA1C44"/>
    <w:rsid w:val="00FA78C8"/>
    <w:rsid w:val="00FB0C6E"/>
    <w:rsid w:val="00FC27FD"/>
    <w:rsid w:val="00FD215A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3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4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A287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D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503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50313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9760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602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7602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02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7602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7602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7602A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uiPriority w:val="99"/>
    <w:rsid w:val="00F93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A287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4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A287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D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503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50313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9760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602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7602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02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7602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7602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7602A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uiPriority w:val="99"/>
    <w:rsid w:val="00F93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A287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FC53-7B24-474B-AB3D-02771E92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3036</Words>
  <Characters>1732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TAX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ТЕТЯНА МИКОЛАЇВНА</dc:creator>
  <cp:lastModifiedBy>User</cp:lastModifiedBy>
  <cp:revision>21</cp:revision>
  <cp:lastPrinted>2023-01-10T15:33:00Z</cp:lastPrinted>
  <dcterms:created xsi:type="dcterms:W3CDTF">2023-04-17T08:06:00Z</dcterms:created>
  <dcterms:modified xsi:type="dcterms:W3CDTF">2023-10-10T09:08:00Z</dcterms:modified>
</cp:coreProperties>
</file>