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7EF61" w14:textId="49612A30" w:rsidR="00C405DA" w:rsidRPr="004A73A4" w:rsidRDefault="00C405DA" w:rsidP="00C405DA">
      <w:pPr>
        <w:widowControl w:val="0"/>
        <w:spacing w:line="240" w:lineRule="auto"/>
        <w:ind w:left="5103"/>
        <w:contextualSpacing/>
        <w:jc w:val="left"/>
        <w:rPr>
          <w:rFonts w:eastAsia="Courier New"/>
          <w:color w:val="000000"/>
          <w:szCs w:val="28"/>
          <w:lang w:val="uk-UA" w:eastAsia="uk-UA"/>
        </w:rPr>
      </w:pPr>
      <w:r>
        <w:rPr>
          <w:rFonts w:eastAsia="Courier New"/>
          <w:color w:val="000000"/>
          <w:szCs w:val="28"/>
          <w:shd w:val="clear" w:color="auto" w:fill="FFFFFF"/>
          <w:lang w:val="uk-UA" w:eastAsia="uk-UA"/>
        </w:rPr>
        <w:t>Додаток</w:t>
      </w:r>
      <w:r w:rsidR="0061164A">
        <w:rPr>
          <w:rFonts w:eastAsia="Courier New"/>
          <w:color w:val="000000"/>
          <w:szCs w:val="28"/>
          <w:shd w:val="clear" w:color="auto" w:fill="FFFFFF"/>
          <w:lang w:val="uk-UA" w:eastAsia="uk-UA"/>
        </w:rPr>
        <w:t xml:space="preserve"> </w:t>
      </w:r>
      <w:r w:rsidR="00655107" w:rsidRPr="00655107">
        <w:rPr>
          <w:rFonts w:eastAsia="Courier New"/>
          <w:color w:val="000000"/>
          <w:szCs w:val="28"/>
          <w:shd w:val="clear" w:color="auto" w:fill="FFFFFF"/>
          <w:lang w:eastAsia="uk-UA"/>
        </w:rPr>
        <w:t>3</w:t>
      </w:r>
      <w:r>
        <w:rPr>
          <w:rFonts w:eastAsia="Courier New"/>
          <w:color w:val="000000"/>
          <w:szCs w:val="28"/>
          <w:shd w:val="clear" w:color="auto" w:fill="FFFFFF"/>
          <w:lang w:val="uk-UA" w:eastAsia="uk-UA"/>
        </w:rPr>
        <w:br/>
      </w:r>
      <w:r>
        <w:rPr>
          <w:rFonts w:eastAsia="Courier New"/>
          <w:color w:val="000000"/>
          <w:szCs w:val="28"/>
          <w:lang w:val="uk-UA" w:eastAsia="uk-UA"/>
        </w:rPr>
        <w:t xml:space="preserve">до </w:t>
      </w:r>
      <w:r w:rsidR="00A4740E">
        <w:rPr>
          <w:rFonts w:eastAsia="Courier New"/>
          <w:color w:val="000000"/>
          <w:szCs w:val="28"/>
          <w:lang w:val="uk-UA" w:eastAsia="uk-UA"/>
        </w:rPr>
        <w:t>Методики</w:t>
      </w:r>
      <w:r w:rsidR="00EB2AEC">
        <w:rPr>
          <w:rFonts w:eastAsia="Courier New"/>
          <w:color w:val="000000"/>
          <w:szCs w:val="28"/>
          <w:lang w:val="uk-UA" w:eastAsia="uk-UA"/>
        </w:rPr>
        <w:t xml:space="preserve"> </w:t>
      </w:r>
      <w:r>
        <w:rPr>
          <w:rFonts w:eastAsia="Courier New"/>
          <w:color w:val="000000"/>
          <w:szCs w:val="28"/>
          <w:lang w:val="uk-UA" w:eastAsia="uk-UA"/>
        </w:rPr>
        <w:t xml:space="preserve">проведення перевірки загальних положень податкового та іншого законодавства України, контроль за дотриманням якого </w:t>
      </w:r>
      <w:r w:rsidRPr="004A73A4">
        <w:rPr>
          <w:rFonts w:eastAsia="Courier New"/>
          <w:color w:val="000000"/>
          <w:szCs w:val="28"/>
          <w:lang w:val="uk-UA" w:eastAsia="uk-UA"/>
        </w:rPr>
        <w:t xml:space="preserve">покладено на податкові органи </w:t>
      </w:r>
    </w:p>
    <w:p w14:paraId="608742E3" w14:textId="77777777" w:rsidR="00C405DA" w:rsidRDefault="00C405DA" w:rsidP="00C405DA">
      <w:pPr>
        <w:widowControl w:val="0"/>
        <w:spacing w:line="240" w:lineRule="auto"/>
        <w:ind w:left="5103"/>
        <w:contextualSpacing/>
        <w:jc w:val="left"/>
        <w:rPr>
          <w:rFonts w:eastAsia="Courier New"/>
          <w:color w:val="000000"/>
          <w:szCs w:val="28"/>
          <w:lang w:val="uk-UA" w:eastAsia="uk-UA"/>
        </w:rPr>
      </w:pPr>
      <w:r w:rsidRPr="004A73A4">
        <w:rPr>
          <w:rFonts w:eastAsia="Courier New"/>
          <w:color w:val="000000"/>
          <w:szCs w:val="28"/>
          <w:lang w:val="uk-UA" w:eastAsia="uk-UA"/>
        </w:rPr>
        <w:t>(</w:t>
      </w:r>
      <w:r w:rsidR="00E41B33">
        <w:rPr>
          <w:rFonts w:eastAsia="Courier New"/>
          <w:color w:val="000000"/>
          <w:szCs w:val="28"/>
          <w:lang w:val="uk-UA" w:eastAsia="uk-UA"/>
        </w:rPr>
        <w:t xml:space="preserve">пункт 6 </w:t>
      </w:r>
      <w:r w:rsidR="006B4380" w:rsidRPr="006B0105">
        <w:rPr>
          <w:rFonts w:eastAsia="Courier New"/>
          <w:color w:val="000000"/>
          <w:szCs w:val="28"/>
          <w:lang w:val="uk-UA" w:eastAsia="uk-UA"/>
        </w:rPr>
        <w:t>розділ</w:t>
      </w:r>
      <w:r w:rsidR="00FB4A03">
        <w:rPr>
          <w:rFonts w:eastAsia="Courier New"/>
          <w:color w:val="000000"/>
          <w:szCs w:val="28"/>
          <w:lang w:val="uk-UA" w:eastAsia="uk-UA"/>
        </w:rPr>
        <w:t>у</w:t>
      </w:r>
      <w:r w:rsidR="006B4380" w:rsidRPr="006B0105">
        <w:rPr>
          <w:rFonts w:eastAsia="Courier New"/>
          <w:color w:val="000000"/>
          <w:szCs w:val="28"/>
          <w:lang w:val="uk-UA" w:eastAsia="uk-UA"/>
        </w:rPr>
        <w:t xml:space="preserve"> </w:t>
      </w:r>
      <w:r w:rsidR="006B4380" w:rsidRPr="00FF7C81">
        <w:rPr>
          <w:rFonts w:eastAsia="Times New Roman"/>
          <w:szCs w:val="28"/>
          <w:lang w:val="en-US" w:eastAsia="ru-RU"/>
        </w:rPr>
        <w:t>V</w:t>
      </w:r>
      <w:r w:rsidRPr="004A73A4">
        <w:rPr>
          <w:rFonts w:eastAsia="Courier New"/>
          <w:color w:val="000000"/>
          <w:szCs w:val="28"/>
          <w:lang w:val="uk-UA" w:eastAsia="uk-UA"/>
        </w:rPr>
        <w:t>)</w:t>
      </w:r>
    </w:p>
    <w:p w14:paraId="401DF8F9" w14:textId="77777777" w:rsidR="00906844" w:rsidRPr="00EB2AEC" w:rsidRDefault="00906844" w:rsidP="0068158E">
      <w:pPr>
        <w:widowControl w:val="0"/>
        <w:spacing w:line="240" w:lineRule="auto"/>
        <w:contextualSpacing/>
        <w:jc w:val="left"/>
        <w:rPr>
          <w:rFonts w:eastAsia="Courier New"/>
          <w:color w:val="000000"/>
          <w:sz w:val="12"/>
          <w:szCs w:val="28"/>
          <w:lang w:eastAsia="uk-UA"/>
        </w:rPr>
      </w:pPr>
    </w:p>
    <w:p w14:paraId="58E5419F" w14:textId="77777777" w:rsidR="00C405DA" w:rsidRPr="00B124CF" w:rsidRDefault="00B124CF" w:rsidP="00906844">
      <w:pPr>
        <w:tabs>
          <w:tab w:val="left" w:pos="6064"/>
        </w:tabs>
        <w:spacing w:line="240" w:lineRule="auto"/>
        <w:jc w:val="right"/>
        <w:rPr>
          <w:rFonts w:eastAsia="Times New Roman"/>
          <w:b/>
          <w:szCs w:val="28"/>
          <w:lang w:val="uk-UA" w:eastAsia="ru-RU"/>
        </w:rPr>
      </w:pPr>
      <w:r w:rsidRPr="00B124CF">
        <w:rPr>
          <w:rFonts w:eastAsia="Times New Roman"/>
          <w:b/>
          <w:i/>
          <w:szCs w:val="28"/>
          <w:lang w:val="uk-UA" w:eastAsia="ru-RU"/>
        </w:rPr>
        <w:t>Примірний</w:t>
      </w:r>
    </w:p>
    <w:p w14:paraId="6E135071" w14:textId="77777777" w:rsidR="00C405DA" w:rsidRPr="004A73A4" w:rsidRDefault="00C405DA" w:rsidP="00C405DA">
      <w:pPr>
        <w:tabs>
          <w:tab w:val="left" w:pos="6064"/>
        </w:tabs>
        <w:spacing w:line="240" w:lineRule="auto"/>
        <w:jc w:val="left"/>
        <w:rPr>
          <w:rFonts w:eastAsia="Times New Roman"/>
          <w:b/>
          <w:szCs w:val="28"/>
          <w:lang w:eastAsia="ru-RU"/>
        </w:rPr>
      </w:pPr>
    </w:p>
    <w:p w14:paraId="7601FD87" w14:textId="77777777" w:rsidR="00906844" w:rsidRPr="00612E0C" w:rsidRDefault="00906844" w:rsidP="00C405DA">
      <w:pPr>
        <w:spacing w:line="240" w:lineRule="auto"/>
        <w:jc w:val="center"/>
        <w:rPr>
          <w:rFonts w:eastAsia="Times New Roman"/>
          <w:szCs w:val="28"/>
          <w:lang w:val="uk-UA" w:eastAsia="ru-RU"/>
        </w:rPr>
      </w:pPr>
      <w:r w:rsidRPr="00612E0C">
        <w:rPr>
          <w:rFonts w:eastAsia="Times New Roman"/>
          <w:szCs w:val="28"/>
          <w:lang w:val="uk-UA" w:eastAsia="ru-RU"/>
        </w:rPr>
        <w:t>Перелік операцій,</w:t>
      </w:r>
    </w:p>
    <w:p w14:paraId="45681542" w14:textId="77777777" w:rsidR="00C405DA" w:rsidRPr="00612E0C" w:rsidRDefault="00C405DA" w:rsidP="00C405DA">
      <w:pPr>
        <w:spacing w:line="240" w:lineRule="auto"/>
        <w:jc w:val="center"/>
        <w:rPr>
          <w:rFonts w:eastAsia="Times New Roman"/>
          <w:szCs w:val="28"/>
          <w:lang w:val="uk-UA" w:eastAsia="ru-RU"/>
        </w:rPr>
      </w:pPr>
      <w:r w:rsidRPr="00612E0C">
        <w:rPr>
          <w:rFonts w:eastAsia="Times New Roman"/>
          <w:szCs w:val="28"/>
          <w:lang w:val="uk-UA" w:eastAsia="ru-RU"/>
        </w:rPr>
        <w:t>що можуть свідчити про ризики в діяльності платника податків</w:t>
      </w:r>
    </w:p>
    <w:p w14:paraId="45047080" w14:textId="77777777" w:rsidR="0046038D" w:rsidRPr="004A73A4" w:rsidRDefault="0046038D" w:rsidP="00C405DA">
      <w:pPr>
        <w:spacing w:line="240" w:lineRule="auto"/>
        <w:ind w:firstLine="567"/>
        <w:rPr>
          <w:rFonts w:eastAsia="Times New Roman"/>
          <w:szCs w:val="28"/>
          <w:lang w:eastAsia="ru-RU"/>
        </w:rPr>
      </w:pPr>
    </w:p>
    <w:p w14:paraId="565CAB13" w14:textId="77777777" w:rsidR="00C405DA" w:rsidRPr="009344BF" w:rsidRDefault="00C405DA" w:rsidP="00C405DA">
      <w:pPr>
        <w:spacing w:line="240" w:lineRule="auto"/>
        <w:ind w:firstLine="567"/>
        <w:rPr>
          <w:rFonts w:eastAsia="Times New Roman"/>
          <w:szCs w:val="28"/>
          <w:lang w:eastAsia="ru-RU"/>
        </w:rPr>
      </w:pPr>
      <w:r w:rsidRPr="009344BF">
        <w:rPr>
          <w:rFonts w:eastAsia="Times New Roman"/>
          <w:szCs w:val="28"/>
          <w:lang w:val="uk-UA" w:eastAsia="ru-RU"/>
        </w:rPr>
        <w:t>До ризикових операції можуть належати</w:t>
      </w:r>
      <w:r w:rsidRPr="009344BF">
        <w:rPr>
          <w:rFonts w:eastAsia="Times New Roman"/>
          <w:szCs w:val="28"/>
          <w:lang w:eastAsia="ru-RU"/>
        </w:rPr>
        <w:t>:</w:t>
      </w:r>
    </w:p>
    <w:tbl>
      <w:tblPr>
        <w:tblStyle w:val="a3"/>
        <w:tblW w:w="10207" w:type="dxa"/>
        <w:tblInd w:w="-318" w:type="dxa"/>
        <w:tblLook w:val="04A0" w:firstRow="1" w:lastRow="0" w:firstColumn="1" w:lastColumn="0" w:noHBand="0" w:noVBand="1"/>
      </w:tblPr>
      <w:tblGrid>
        <w:gridCol w:w="817"/>
        <w:gridCol w:w="9390"/>
      </w:tblGrid>
      <w:tr w:rsidR="00C405DA" w:rsidRPr="009344BF" w14:paraId="31F25969" w14:textId="77777777" w:rsidTr="00DE65CC">
        <w:tc>
          <w:tcPr>
            <w:tcW w:w="817" w:type="dxa"/>
            <w:vAlign w:val="center"/>
          </w:tcPr>
          <w:p w14:paraId="3C1BEA2B" w14:textId="77777777" w:rsidR="00C405DA" w:rsidRPr="009344BF" w:rsidRDefault="00C405DA" w:rsidP="00622E81">
            <w:pPr>
              <w:spacing w:line="240" w:lineRule="auto"/>
              <w:jc w:val="center"/>
              <w:rPr>
                <w:rFonts w:eastAsia="Times New Roman"/>
                <w:b/>
                <w:sz w:val="24"/>
                <w:szCs w:val="28"/>
                <w:lang w:val="uk-UA" w:eastAsia="ru-RU"/>
              </w:rPr>
            </w:pPr>
            <w:r w:rsidRPr="009344BF">
              <w:rPr>
                <w:rFonts w:eastAsia="Times New Roman"/>
                <w:b/>
                <w:sz w:val="24"/>
                <w:szCs w:val="28"/>
                <w:lang w:val="uk-UA" w:eastAsia="ru-RU"/>
              </w:rPr>
              <w:t>№ з/п</w:t>
            </w:r>
          </w:p>
        </w:tc>
        <w:tc>
          <w:tcPr>
            <w:tcW w:w="9390" w:type="dxa"/>
            <w:vAlign w:val="center"/>
          </w:tcPr>
          <w:p w14:paraId="15F34D8A" w14:textId="77777777" w:rsidR="00C405DA" w:rsidRPr="009344BF" w:rsidRDefault="00C405DA" w:rsidP="00622E81">
            <w:pPr>
              <w:spacing w:line="240" w:lineRule="auto"/>
              <w:jc w:val="center"/>
              <w:rPr>
                <w:rFonts w:eastAsia="Times New Roman"/>
                <w:b/>
                <w:sz w:val="24"/>
                <w:szCs w:val="28"/>
                <w:lang w:val="uk-UA" w:eastAsia="ru-RU"/>
              </w:rPr>
            </w:pPr>
            <w:r w:rsidRPr="009344BF">
              <w:rPr>
                <w:rFonts w:eastAsia="Times New Roman"/>
                <w:b/>
                <w:sz w:val="24"/>
                <w:szCs w:val="28"/>
                <w:lang w:val="uk-UA" w:eastAsia="ru-RU"/>
              </w:rPr>
              <w:t>Найменування</w:t>
            </w:r>
          </w:p>
        </w:tc>
      </w:tr>
      <w:tr w:rsidR="00C405DA" w:rsidRPr="009344BF" w14:paraId="7081DD66" w14:textId="77777777" w:rsidTr="00DE65CC">
        <w:tc>
          <w:tcPr>
            <w:tcW w:w="817" w:type="dxa"/>
            <w:vAlign w:val="center"/>
          </w:tcPr>
          <w:p w14:paraId="395CE66A" w14:textId="77777777" w:rsidR="00C405DA" w:rsidRPr="009344BF" w:rsidRDefault="00C405DA" w:rsidP="00622E81">
            <w:pPr>
              <w:tabs>
                <w:tab w:val="left" w:pos="568"/>
              </w:tabs>
              <w:jc w:val="center"/>
              <w:rPr>
                <w:i/>
                <w:sz w:val="24"/>
                <w:szCs w:val="24"/>
                <w:lang w:val="uk-UA"/>
              </w:rPr>
            </w:pPr>
            <w:r>
              <w:rPr>
                <w:i/>
                <w:sz w:val="24"/>
                <w:szCs w:val="24"/>
                <w:lang w:val="uk-UA"/>
              </w:rPr>
              <w:t>1</w:t>
            </w:r>
          </w:p>
        </w:tc>
        <w:tc>
          <w:tcPr>
            <w:tcW w:w="9390" w:type="dxa"/>
          </w:tcPr>
          <w:p w14:paraId="3C003F1C"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Здійснення зовнішньоекономічних операцій через нерезидентів - засновників та нерезидентів, зареєстрованих в офшорних зонах, за непрямими поставками у сумі операцій понад 5 млн грн або понад 5 відсотків загальних обсягів постачання, але не менше 100 тис. грн</w:t>
            </w:r>
          </w:p>
        </w:tc>
      </w:tr>
      <w:tr w:rsidR="00C405DA" w:rsidRPr="00BD6483" w14:paraId="27DF7EE2" w14:textId="77777777" w:rsidTr="00DE65CC">
        <w:tc>
          <w:tcPr>
            <w:tcW w:w="817" w:type="dxa"/>
            <w:vAlign w:val="center"/>
          </w:tcPr>
          <w:p w14:paraId="41179627" w14:textId="77777777" w:rsidR="00C405DA" w:rsidRPr="009344BF" w:rsidRDefault="00C405DA" w:rsidP="00622E81">
            <w:pPr>
              <w:tabs>
                <w:tab w:val="left" w:pos="568"/>
              </w:tabs>
              <w:spacing w:line="240" w:lineRule="auto"/>
              <w:jc w:val="center"/>
              <w:rPr>
                <w:i/>
                <w:iCs/>
                <w:sz w:val="24"/>
                <w:szCs w:val="24"/>
                <w:lang w:val="uk-UA"/>
              </w:rPr>
            </w:pPr>
            <w:r>
              <w:rPr>
                <w:i/>
                <w:iCs/>
                <w:sz w:val="24"/>
                <w:szCs w:val="24"/>
                <w:lang w:val="uk-UA"/>
              </w:rPr>
              <w:t>2</w:t>
            </w:r>
          </w:p>
        </w:tc>
        <w:tc>
          <w:tcPr>
            <w:tcW w:w="9390" w:type="dxa"/>
          </w:tcPr>
          <w:p w14:paraId="40E83900"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Здійснення експортних операцій щодо товарів, нетипових для основного виду діяльності підприємства (нетиповий експорт), у сумі понад 5 млн грн або понад 5 відсотків загальних обсягів постачання, але не менше 100 тис. грн</w:t>
            </w:r>
          </w:p>
        </w:tc>
      </w:tr>
      <w:tr w:rsidR="00C405DA" w:rsidRPr="00BD6483" w14:paraId="5625CA57" w14:textId="77777777" w:rsidTr="00DE65CC">
        <w:tc>
          <w:tcPr>
            <w:tcW w:w="817" w:type="dxa"/>
            <w:vAlign w:val="center"/>
          </w:tcPr>
          <w:p w14:paraId="0ADD3BA2" w14:textId="21C2E0F5" w:rsidR="00C405DA" w:rsidRPr="00BD6483" w:rsidRDefault="00BD6483" w:rsidP="00622E81">
            <w:pPr>
              <w:tabs>
                <w:tab w:val="left" w:pos="568"/>
              </w:tabs>
              <w:spacing w:line="240" w:lineRule="auto"/>
              <w:jc w:val="center"/>
              <w:rPr>
                <w:i/>
                <w:iCs/>
                <w:sz w:val="24"/>
                <w:szCs w:val="24"/>
                <w:lang w:val="en-US"/>
              </w:rPr>
            </w:pPr>
            <w:r>
              <w:rPr>
                <w:i/>
                <w:iCs/>
                <w:sz w:val="24"/>
                <w:szCs w:val="24"/>
                <w:lang w:val="en-US"/>
              </w:rPr>
              <w:t>3</w:t>
            </w:r>
          </w:p>
        </w:tc>
        <w:tc>
          <w:tcPr>
            <w:tcW w:w="9390" w:type="dxa"/>
          </w:tcPr>
          <w:p w14:paraId="64456AF9" w14:textId="77777777" w:rsidR="00C405DA" w:rsidRPr="009344BF" w:rsidRDefault="00C405DA" w:rsidP="00622E81">
            <w:pPr>
              <w:pStyle w:val="rvps2"/>
              <w:shd w:val="clear" w:color="auto" w:fill="FFFFFF"/>
              <w:jc w:val="both"/>
              <w:rPr>
                <w:color w:val="000000"/>
                <w:lang w:val="uk-UA"/>
              </w:rPr>
            </w:pPr>
            <w:r w:rsidRPr="009344BF">
              <w:rPr>
                <w:color w:val="000000"/>
                <w:lang w:val="uk-UA"/>
              </w:rPr>
              <w:t>Наявність інформації щодо здійснення платником податків операцій з купівлі-продажу та інших способів відчуження цінних паперів, емітенти яких за рішенням Національної комісії з цінних паперів та фондового ринку включені до списку емітентів, що мають ознаки фіктивності</w:t>
            </w:r>
          </w:p>
        </w:tc>
      </w:tr>
      <w:tr w:rsidR="00C405DA" w:rsidRPr="00BD6483" w14:paraId="30B29A66" w14:textId="77777777" w:rsidTr="00DE65CC">
        <w:tc>
          <w:tcPr>
            <w:tcW w:w="817" w:type="dxa"/>
            <w:vAlign w:val="center"/>
          </w:tcPr>
          <w:p w14:paraId="02D05D6D" w14:textId="53646007" w:rsidR="00C405DA" w:rsidRPr="00BD6483" w:rsidRDefault="00BD6483" w:rsidP="00622E81">
            <w:pPr>
              <w:tabs>
                <w:tab w:val="left" w:pos="568"/>
              </w:tabs>
              <w:spacing w:line="240" w:lineRule="auto"/>
              <w:jc w:val="center"/>
              <w:rPr>
                <w:i/>
                <w:iCs/>
                <w:sz w:val="24"/>
                <w:szCs w:val="24"/>
                <w:lang w:val="en-US"/>
              </w:rPr>
            </w:pPr>
            <w:r>
              <w:rPr>
                <w:i/>
                <w:iCs/>
                <w:sz w:val="24"/>
                <w:szCs w:val="24"/>
                <w:lang w:val="en-US"/>
              </w:rPr>
              <w:t>4</w:t>
            </w:r>
          </w:p>
        </w:tc>
        <w:tc>
          <w:tcPr>
            <w:tcW w:w="9390" w:type="dxa"/>
          </w:tcPr>
          <w:p w14:paraId="0E9CCEB4" w14:textId="77777777" w:rsidR="00C405DA" w:rsidRPr="009344BF" w:rsidRDefault="00C405DA" w:rsidP="00622E81">
            <w:pPr>
              <w:pStyle w:val="rvps2"/>
              <w:shd w:val="clear" w:color="auto" w:fill="FFFFFF"/>
              <w:spacing w:after="150"/>
              <w:jc w:val="both"/>
              <w:rPr>
                <w:lang w:val="uk-UA"/>
              </w:rPr>
            </w:pPr>
            <w:r w:rsidRPr="009344BF">
              <w:rPr>
                <w:lang w:val="uk-UA"/>
              </w:rPr>
              <w:t>Різниці, що виникають при формуванні резервів (забезпечень), та різниці, які зменшують фінансовий результат, у сумі становлять понад 30 відсотків різниць, на які збільшується фінансовий результат</w:t>
            </w:r>
          </w:p>
        </w:tc>
      </w:tr>
      <w:tr w:rsidR="00C405DA" w:rsidRPr="009344BF" w14:paraId="4EEC960A" w14:textId="77777777" w:rsidTr="00DE65CC">
        <w:tc>
          <w:tcPr>
            <w:tcW w:w="817" w:type="dxa"/>
            <w:vAlign w:val="center"/>
          </w:tcPr>
          <w:p w14:paraId="4ED9FEB7" w14:textId="344BEBA7" w:rsidR="00C405DA" w:rsidRPr="00BD6483" w:rsidRDefault="00BD6483" w:rsidP="00622E81">
            <w:pPr>
              <w:tabs>
                <w:tab w:val="left" w:pos="568"/>
              </w:tabs>
              <w:jc w:val="center"/>
              <w:rPr>
                <w:i/>
                <w:sz w:val="24"/>
                <w:szCs w:val="24"/>
                <w:lang w:val="en-US"/>
              </w:rPr>
            </w:pPr>
            <w:r>
              <w:rPr>
                <w:i/>
                <w:sz w:val="24"/>
                <w:szCs w:val="24"/>
                <w:lang w:val="en-US"/>
              </w:rPr>
              <w:t>5</w:t>
            </w:r>
          </w:p>
        </w:tc>
        <w:tc>
          <w:tcPr>
            <w:tcW w:w="9390" w:type="dxa"/>
            <w:vAlign w:val="center"/>
          </w:tcPr>
          <w:p w14:paraId="1C0D8D25" w14:textId="77777777" w:rsidR="00C405DA" w:rsidRPr="009344BF" w:rsidRDefault="00C405DA" w:rsidP="00622E81">
            <w:pPr>
              <w:widowControl w:val="0"/>
              <w:tabs>
                <w:tab w:val="left" w:pos="650"/>
              </w:tabs>
              <w:autoSpaceDE w:val="0"/>
              <w:autoSpaceDN w:val="0"/>
              <w:spacing w:line="240" w:lineRule="auto"/>
              <w:ind w:left="36" w:hanging="36"/>
              <w:outlineLvl w:val="0"/>
              <w:rPr>
                <w:sz w:val="24"/>
                <w:lang w:val="uk-UA"/>
              </w:rPr>
            </w:pPr>
            <w:bookmarkStart w:id="0" w:name="_Toc509910121"/>
            <w:bookmarkStart w:id="1" w:name="_Toc514074812"/>
            <w:bookmarkStart w:id="2" w:name="_Toc516589341"/>
            <w:bookmarkStart w:id="3" w:name="_Toc517361413"/>
            <w:bookmarkStart w:id="4" w:name="_Toc524514307"/>
            <w:bookmarkStart w:id="5" w:name="_Toc524693728"/>
            <w:bookmarkStart w:id="6" w:name="_Toc525749179"/>
            <w:bookmarkStart w:id="7" w:name="_Toc526768136"/>
            <w:bookmarkStart w:id="8" w:name="_Toc526840564"/>
            <w:bookmarkStart w:id="9" w:name="_Toc528836152"/>
            <w:r w:rsidRPr="009344BF">
              <w:rPr>
                <w:sz w:val="24"/>
                <w:lang w:val="uk-UA"/>
              </w:rPr>
              <w:t>Наявність інформації про не підтвердження реального здійснення операції з придбання із сумою податку на додану вартість понад 1 млн грн або понад 5 відсотків загального обсягу податкового кредиту, але не менше 100 тис. грн</w:t>
            </w:r>
            <w:bookmarkEnd w:id="0"/>
            <w:bookmarkEnd w:id="1"/>
            <w:bookmarkEnd w:id="2"/>
            <w:bookmarkEnd w:id="3"/>
            <w:bookmarkEnd w:id="4"/>
            <w:bookmarkEnd w:id="5"/>
            <w:bookmarkEnd w:id="6"/>
            <w:bookmarkEnd w:id="7"/>
            <w:bookmarkEnd w:id="8"/>
            <w:bookmarkEnd w:id="9"/>
          </w:p>
        </w:tc>
      </w:tr>
      <w:tr w:rsidR="00C405DA" w:rsidRPr="009344BF" w14:paraId="27021CB4" w14:textId="77777777" w:rsidTr="00DE65CC">
        <w:tc>
          <w:tcPr>
            <w:tcW w:w="817" w:type="dxa"/>
            <w:vAlign w:val="center"/>
          </w:tcPr>
          <w:p w14:paraId="6544D00D" w14:textId="08207132" w:rsidR="00C405DA" w:rsidRPr="00BD6483" w:rsidRDefault="00BD6483" w:rsidP="00622E81">
            <w:pPr>
              <w:tabs>
                <w:tab w:val="left" w:pos="568"/>
              </w:tabs>
              <w:spacing w:line="240" w:lineRule="auto"/>
              <w:jc w:val="center"/>
              <w:rPr>
                <w:i/>
                <w:iCs/>
                <w:sz w:val="24"/>
                <w:szCs w:val="24"/>
                <w:lang w:val="en-US"/>
              </w:rPr>
            </w:pPr>
            <w:r>
              <w:rPr>
                <w:i/>
                <w:iCs/>
                <w:sz w:val="24"/>
                <w:szCs w:val="24"/>
                <w:lang w:val="en-US"/>
              </w:rPr>
              <w:t>6</w:t>
            </w:r>
          </w:p>
        </w:tc>
        <w:tc>
          <w:tcPr>
            <w:tcW w:w="9390" w:type="dxa"/>
          </w:tcPr>
          <w:p w14:paraId="1BEE7B6F"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 xml:space="preserve">Нарахування та виплата доходів за ознакою 157 (дохід, виплачений </w:t>
            </w:r>
            <w:proofErr w:type="spellStart"/>
            <w:r w:rsidRPr="009344BF">
              <w:rPr>
                <w:color w:val="000000"/>
                <w:lang w:val="uk-UA"/>
              </w:rPr>
              <w:t>самозайнятій</w:t>
            </w:r>
            <w:proofErr w:type="spellEnd"/>
            <w:r w:rsidRPr="009344BF">
              <w:rPr>
                <w:color w:val="000000"/>
                <w:lang w:val="uk-UA"/>
              </w:rPr>
              <w:t xml:space="preserve"> особі), визначеною </w:t>
            </w:r>
            <w:hyperlink r:id="rId8" w:anchor="n113" w:tgtFrame="_blank" w:history="1">
              <w:r w:rsidRPr="009344BF">
                <w:rPr>
                  <w:rStyle w:val="a4"/>
                  <w:color w:val="000000" w:themeColor="text1"/>
                  <w:lang w:val="uk-UA"/>
                </w:rPr>
                <w:t>Довідником ознак доходів</w:t>
              </w:r>
            </w:hyperlink>
            <w:r w:rsidRPr="009344BF">
              <w:rPr>
                <w:color w:val="000000"/>
                <w:lang w:val="uk-UA"/>
              </w:rPr>
              <w:t>, у сумі понад 5 відсотків загального обсягу доходу від будь-якої діяльності (за вирахуванням непрямих податків), визначеного за правилами бухгалтерського обліку</w:t>
            </w:r>
          </w:p>
        </w:tc>
      </w:tr>
      <w:tr w:rsidR="00C405DA" w:rsidRPr="009344BF" w14:paraId="5A066C49" w14:textId="77777777" w:rsidTr="00DE65CC">
        <w:tc>
          <w:tcPr>
            <w:tcW w:w="817" w:type="dxa"/>
            <w:vAlign w:val="center"/>
          </w:tcPr>
          <w:p w14:paraId="1713F4E4" w14:textId="273F0B36" w:rsidR="00C405DA" w:rsidRPr="00BD6483" w:rsidRDefault="00BD6483" w:rsidP="00622E81">
            <w:pPr>
              <w:tabs>
                <w:tab w:val="left" w:pos="568"/>
              </w:tabs>
              <w:spacing w:line="240" w:lineRule="auto"/>
              <w:jc w:val="center"/>
              <w:rPr>
                <w:i/>
                <w:iCs/>
                <w:sz w:val="24"/>
                <w:szCs w:val="24"/>
                <w:lang w:val="en-US"/>
              </w:rPr>
            </w:pPr>
            <w:r>
              <w:rPr>
                <w:i/>
                <w:iCs/>
                <w:sz w:val="24"/>
                <w:szCs w:val="24"/>
                <w:lang w:val="en-US"/>
              </w:rPr>
              <w:t>7</w:t>
            </w:r>
          </w:p>
        </w:tc>
        <w:tc>
          <w:tcPr>
            <w:tcW w:w="9390" w:type="dxa"/>
          </w:tcPr>
          <w:p w14:paraId="73A69DF3"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Наявність інформації про об’єкти оподаткування у платника податків, який не сплачує плату за землю або сплачує її в неповному обсязі, а також задекларував податкові зобов’язання без документів, які надають право використовувати земельні ділянки</w:t>
            </w:r>
          </w:p>
        </w:tc>
      </w:tr>
      <w:tr w:rsidR="00C405DA" w:rsidRPr="00BD6483" w14:paraId="468EEB6D" w14:textId="77777777" w:rsidTr="00DE65CC">
        <w:tc>
          <w:tcPr>
            <w:tcW w:w="817" w:type="dxa"/>
            <w:vAlign w:val="center"/>
          </w:tcPr>
          <w:p w14:paraId="437513D9" w14:textId="2B690C24"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8</w:t>
            </w:r>
          </w:p>
        </w:tc>
        <w:tc>
          <w:tcPr>
            <w:tcW w:w="9390" w:type="dxa"/>
          </w:tcPr>
          <w:p w14:paraId="7D8731D0" w14:textId="77777777" w:rsidR="00C405DA" w:rsidRPr="00655107" w:rsidRDefault="00C405DA" w:rsidP="00622E81">
            <w:pPr>
              <w:pStyle w:val="rvps2"/>
              <w:shd w:val="clear" w:color="auto" w:fill="FFFFFF"/>
              <w:spacing w:after="150"/>
              <w:jc w:val="both"/>
              <w:rPr>
                <w:color w:val="000000"/>
                <w:lang w:val="uk-UA"/>
              </w:rPr>
            </w:pPr>
            <w:r w:rsidRPr="00655107">
              <w:rPr>
                <w:color w:val="000000"/>
                <w:lang w:val="uk-UA"/>
              </w:rPr>
              <w:t>Наявність негативних рішень комісії ДПС в системі автоматизованого моніторингу відповідності податкових накладних критеріям оцінки ступеня ризику, достатніх для зупинення реєстрації податкових накладних протягом трьох звітних періодів</w:t>
            </w:r>
          </w:p>
        </w:tc>
      </w:tr>
      <w:tr w:rsidR="00C405DA" w:rsidRPr="009344BF" w14:paraId="4613DD3A" w14:textId="77777777" w:rsidTr="00DE65CC">
        <w:tc>
          <w:tcPr>
            <w:tcW w:w="817" w:type="dxa"/>
            <w:vAlign w:val="center"/>
          </w:tcPr>
          <w:p w14:paraId="73EA9FF8" w14:textId="3D695A66"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9</w:t>
            </w:r>
          </w:p>
        </w:tc>
        <w:tc>
          <w:tcPr>
            <w:tcW w:w="9390" w:type="dxa"/>
          </w:tcPr>
          <w:p w14:paraId="0B07D21A" w14:textId="3D41B902" w:rsidR="00C405DA" w:rsidRPr="00655107" w:rsidRDefault="00C405DA" w:rsidP="00622E81">
            <w:pPr>
              <w:pStyle w:val="rvps2"/>
              <w:shd w:val="clear" w:color="auto" w:fill="FFFFFF"/>
              <w:spacing w:after="150"/>
              <w:jc w:val="both"/>
              <w:rPr>
                <w:color w:val="000000"/>
                <w:lang w:val="uk-UA"/>
              </w:rPr>
            </w:pPr>
            <w:r w:rsidRPr="00655107">
              <w:rPr>
                <w:color w:val="000000"/>
                <w:lang w:val="uk-UA"/>
              </w:rPr>
              <w:t>Суми за повернення товарів становлять понад 5 відсотків суми загального продажу, проведеної через РРО</w:t>
            </w:r>
            <w:r w:rsidR="00100EA2" w:rsidRPr="00655107">
              <w:rPr>
                <w:color w:val="000000"/>
                <w:lang w:val="uk-UA"/>
              </w:rPr>
              <w:t>/ПРРО</w:t>
            </w:r>
          </w:p>
        </w:tc>
      </w:tr>
      <w:tr w:rsidR="00C405DA" w:rsidRPr="00A4740E" w14:paraId="5BB53ACD" w14:textId="77777777" w:rsidTr="00DE65CC">
        <w:tc>
          <w:tcPr>
            <w:tcW w:w="817" w:type="dxa"/>
            <w:vAlign w:val="center"/>
          </w:tcPr>
          <w:p w14:paraId="031AD33D" w14:textId="43784B13"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10</w:t>
            </w:r>
          </w:p>
        </w:tc>
        <w:tc>
          <w:tcPr>
            <w:tcW w:w="9390" w:type="dxa"/>
          </w:tcPr>
          <w:p w14:paraId="3726847B" w14:textId="178C1D21" w:rsidR="00C405DA" w:rsidRPr="00655107" w:rsidRDefault="00C405DA" w:rsidP="00622E81">
            <w:pPr>
              <w:pStyle w:val="rvps2"/>
              <w:shd w:val="clear" w:color="auto" w:fill="FFFFFF"/>
              <w:spacing w:after="150"/>
              <w:jc w:val="both"/>
              <w:rPr>
                <w:color w:val="000000"/>
                <w:lang w:val="uk-UA"/>
              </w:rPr>
            </w:pPr>
            <w:r w:rsidRPr="00655107">
              <w:rPr>
                <w:color w:val="000000"/>
                <w:lang w:val="uk-UA"/>
              </w:rPr>
              <w:t xml:space="preserve">Невідповідність суми сплати акцизного податку з роздрібного продажу підакцизних товарів розрахунковій сумі цього податку із суми загального продажу таких товарів, проведеної через </w:t>
            </w:r>
            <w:r w:rsidR="00100EA2" w:rsidRPr="00655107">
              <w:rPr>
                <w:color w:val="000000"/>
                <w:lang w:val="uk-UA"/>
              </w:rPr>
              <w:t>РРО/ПРРО</w:t>
            </w:r>
          </w:p>
        </w:tc>
      </w:tr>
      <w:tr w:rsidR="00C405DA" w:rsidRPr="00BD6483" w14:paraId="52BD10FF" w14:textId="77777777" w:rsidTr="00DE65CC">
        <w:tc>
          <w:tcPr>
            <w:tcW w:w="817" w:type="dxa"/>
            <w:vAlign w:val="center"/>
          </w:tcPr>
          <w:p w14:paraId="529DAC54" w14:textId="027C934D" w:rsidR="00C405DA" w:rsidRPr="00BD6483" w:rsidRDefault="00C405DA" w:rsidP="00BD6483">
            <w:pPr>
              <w:spacing w:line="240" w:lineRule="auto"/>
              <w:jc w:val="center"/>
              <w:rPr>
                <w:rFonts w:eastAsia="Times New Roman"/>
                <w:i/>
                <w:sz w:val="24"/>
                <w:szCs w:val="24"/>
                <w:lang w:val="en-US" w:eastAsia="ru-RU"/>
              </w:rPr>
            </w:pPr>
            <w:r w:rsidRPr="009344BF">
              <w:rPr>
                <w:rFonts w:eastAsia="Times New Roman"/>
                <w:i/>
                <w:sz w:val="24"/>
                <w:szCs w:val="24"/>
                <w:lang w:val="uk-UA" w:eastAsia="ru-RU"/>
              </w:rPr>
              <w:t>1</w:t>
            </w:r>
            <w:r w:rsidR="00BD6483">
              <w:rPr>
                <w:rFonts w:eastAsia="Times New Roman"/>
                <w:i/>
                <w:sz w:val="24"/>
                <w:szCs w:val="24"/>
                <w:lang w:val="en-US" w:eastAsia="ru-RU"/>
              </w:rPr>
              <w:t>1</w:t>
            </w:r>
          </w:p>
        </w:tc>
        <w:tc>
          <w:tcPr>
            <w:tcW w:w="9390" w:type="dxa"/>
          </w:tcPr>
          <w:p w14:paraId="05E8F4E6" w14:textId="77777777" w:rsidR="00C405DA" w:rsidRPr="009344BF" w:rsidRDefault="00C405DA" w:rsidP="00622E81">
            <w:pPr>
              <w:pStyle w:val="rvps2"/>
              <w:shd w:val="clear" w:color="auto" w:fill="FFFFFF"/>
              <w:spacing w:before="0" w:beforeAutospacing="0" w:after="0" w:afterAutospacing="0"/>
              <w:jc w:val="both"/>
              <w:rPr>
                <w:color w:val="000000"/>
                <w:lang w:val="uk-UA"/>
              </w:rPr>
            </w:pPr>
            <w:r w:rsidRPr="009344BF">
              <w:rPr>
                <w:color w:val="000000"/>
                <w:lang w:val="uk-UA"/>
              </w:rPr>
              <w:t>Наявність інформації правоохоронних органів, структурних підрозділів органів ДПС про ухилення від оподаткування та/або щодо взаємовідносин із платниками податків:</w:t>
            </w:r>
          </w:p>
          <w:p w14:paraId="5507E1FC" w14:textId="77777777" w:rsidR="00C405DA" w:rsidRPr="009344BF" w:rsidRDefault="00C405DA" w:rsidP="00C405DA">
            <w:pPr>
              <w:pStyle w:val="rvps2"/>
              <w:numPr>
                <w:ilvl w:val="0"/>
                <w:numId w:val="1"/>
              </w:numPr>
              <w:shd w:val="clear" w:color="auto" w:fill="FFFFFF"/>
              <w:tabs>
                <w:tab w:val="left" w:pos="554"/>
              </w:tabs>
              <w:spacing w:before="0" w:beforeAutospacing="0" w:after="0" w:afterAutospacing="0"/>
              <w:ind w:left="0" w:firstLine="270"/>
              <w:jc w:val="both"/>
              <w:rPr>
                <w:color w:val="000000"/>
                <w:sz w:val="22"/>
                <w:lang w:val="uk-UA"/>
              </w:rPr>
            </w:pPr>
            <w:r w:rsidRPr="009344BF">
              <w:rPr>
                <w:color w:val="000000"/>
                <w:sz w:val="22"/>
                <w:lang w:val="uk-UA"/>
              </w:rPr>
              <w:t xml:space="preserve">які мають ознаки фіктивності або стосовно яких розпочато досудове розслідування у кримінальних провадженнях, які пов’язані з фіктивним підприємництвом; </w:t>
            </w:r>
          </w:p>
          <w:p w14:paraId="2A7576DC" w14:textId="77777777" w:rsidR="00C405DA" w:rsidRPr="009344BF" w:rsidRDefault="00C405DA" w:rsidP="00C405DA">
            <w:pPr>
              <w:pStyle w:val="rvps2"/>
              <w:numPr>
                <w:ilvl w:val="0"/>
                <w:numId w:val="1"/>
              </w:numPr>
              <w:shd w:val="clear" w:color="auto" w:fill="FFFFFF"/>
              <w:tabs>
                <w:tab w:val="left" w:pos="554"/>
              </w:tabs>
              <w:spacing w:before="0" w:beforeAutospacing="0" w:after="0" w:afterAutospacing="0"/>
              <w:ind w:left="0" w:firstLine="270"/>
              <w:jc w:val="both"/>
              <w:rPr>
                <w:color w:val="000000"/>
                <w:sz w:val="22"/>
                <w:lang w:val="uk-UA"/>
              </w:rPr>
            </w:pPr>
            <w:r w:rsidRPr="009344BF">
              <w:rPr>
                <w:color w:val="000000"/>
                <w:sz w:val="22"/>
                <w:lang w:val="uk-UA"/>
              </w:rPr>
              <w:t xml:space="preserve">реєстрацію яких скасовано у судовому порядку; </w:t>
            </w:r>
          </w:p>
          <w:p w14:paraId="775DA87D" w14:textId="77777777" w:rsidR="00C405DA" w:rsidRPr="009344BF" w:rsidRDefault="00C405DA" w:rsidP="00C405DA">
            <w:pPr>
              <w:pStyle w:val="rvps2"/>
              <w:numPr>
                <w:ilvl w:val="0"/>
                <w:numId w:val="1"/>
              </w:numPr>
              <w:shd w:val="clear" w:color="auto" w:fill="FFFFFF"/>
              <w:tabs>
                <w:tab w:val="left" w:pos="554"/>
              </w:tabs>
              <w:spacing w:before="0" w:beforeAutospacing="0" w:after="0" w:afterAutospacing="0"/>
              <w:ind w:left="0" w:firstLine="270"/>
              <w:jc w:val="both"/>
              <w:rPr>
                <w:color w:val="000000"/>
                <w:sz w:val="22"/>
                <w:lang w:val="uk-UA"/>
              </w:rPr>
            </w:pPr>
            <w:r w:rsidRPr="009344BF">
              <w:rPr>
                <w:color w:val="000000"/>
                <w:sz w:val="22"/>
                <w:lang w:val="uk-UA"/>
              </w:rPr>
              <w:t xml:space="preserve">стосовно яких встановлено факт неподання податкової звітності протягом двох податкових (звітних) періодів; </w:t>
            </w:r>
          </w:p>
          <w:p w14:paraId="5F15CA0E" w14:textId="77777777" w:rsidR="00C405DA" w:rsidRPr="009344BF" w:rsidRDefault="00C405DA" w:rsidP="00C405DA">
            <w:pPr>
              <w:pStyle w:val="rvps2"/>
              <w:numPr>
                <w:ilvl w:val="0"/>
                <w:numId w:val="1"/>
              </w:numPr>
              <w:shd w:val="clear" w:color="auto" w:fill="FFFFFF"/>
              <w:tabs>
                <w:tab w:val="left" w:pos="554"/>
              </w:tabs>
              <w:spacing w:before="0" w:beforeAutospacing="0" w:after="0" w:afterAutospacing="0"/>
              <w:ind w:left="0" w:firstLine="270"/>
              <w:jc w:val="both"/>
              <w:rPr>
                <w:color w:val="000000"/>
                <w:sz w:val="22"/>
                <w:lang w:val="uk-UA"/>
              </w:rPr>
            </w:pPr>
            <w:r w:rsidRPr="009344BF">
              <w:rPr>
                <w:color w:val="000000"/>
                <w:sz w:val="22"/>
                <w:lang w:val="uk-UA"/>
              </w:rPr>
              <w:t xml:space="preserve">які знаходяться в розшуку; </w:t>
            </w:r>
          </w:p>
          <w:p w14:paraId="61F564A8" w14:textId="77777777" w:rsidR="00C405DA" w:rsidRPr="009344BF" w:rsidRDefault="00C405DA" w:rsidP="00C405DA">
            <w:pPr>
              <w:pStyle w:val="rvps2"/>
              <w:numPr>
                <w:ilvl w:val="0"/>
                <w:numId w:val="1"/>
              </w:numPr>
              <w:shd w:val="clear" w:color="auto" w:fill="FFFFFF"/>
              <w:tabs>
                <w:tab w:val="left" w:pos="554"/>
              </w:tabs>
              <w:spacing w:before="0" w:beforeAutospacing="0" w:after="0" w:afterAutospacing="0"/>
              <w:ind w:left="0" w:firstLine="270"/>
              <w:jc w:val="both"/>
              <w:rPr>
                <w:color w:val="000000"/>
                <w:sz w:val="22"/>
                <w:lang w:val="uk-UA"/>
              </w:rPr>
            </w:pPr>
            <w:r w:rsidRPr="009344BF">
              <w:rPr>
                <w:color w:val="000000"/>
                <w:sz w:val="22"/>
                <w:lang w:val="uk-UA"/>
              </w:rPr>
              <w:lastRenderedPageBreak/>
              <w:t xml:space="preserve">які визнані банкрутами; </w:t>
            </w:r>
          </w:p>
          <w:p w14:paraId="1E237E9D" w14:textId="77777777" w:rsidR="00C405DA" w:rsidRPr="009344BF" w:rsidRDefault="00C405DA" w:rsidP="00C405DA">
            <w:pPr>
              <w:pStyle w:val="rvps2"/>
              <w:numPr>
                <w:ilvl w:val="0"/>
                <w:numId w:val="1"/>
              </w:numPr>
              <w:shd w:val="clear" w:color="auto" w:fill="FFFFFF"/>
              <w:tabs>
                <w:tab w:val="left" w:pos="554"/>
              </w:tabs>
              <w:spacing w:before="0" w:beforeAutospacing="0" w:after="0" w:afterAutospacing="0"/>
              <w:ind w:left="0" w:firstLine="270"/>
              <w:jc w:val="both"/>
              <w:rPr>
                <w:color w:val="000000"/>
                <w:lang w:val="uk-UA"/>
              </w:rPr>
            </w:pPr>
            <w:r w:rsidRPr="009344BF">
              <w:rPr>
                <w:color w:val="000000"/>
                <w:sz w:val="22"/>
                <w:lang w:val="uk-UA"/>
              </w:rPr>
              <w:t>стосовно яких розпочато досудове розслідування у кримінальних провадженнях або щодо яких порушено кримінальні справи, які пов’язані з ухиленням від сплати податків, зборів (платежів), єдиного внеску та страхових внесків на загальнообов’язкове державне пенсійне страхування</w:t>
            </w:r>
          </w:p>
        </w:tc>
      </w:tr>
      <w:tr w:rsidR="00C405DA" w:rsidRPr="009344BF" w14:paraId="01D282C5" w14:textId="77777777" w:rsidTr="00DE65CC">
        <w:tc>
          <w:tcPr>
            <w:tcW w:w="817" w:type="dxa"/>
            <w:vAlign w:val="center"/>
          </w:tcPr>
          <w:p w14:paraId="3A41D6D0" w14:textId="19026E66"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lastRenderedPageBreak/>
              <w:t>12</w:t>
            </w:r>
          </w:p>
        </w:tc>
        <w:tc>
          <w:tcPr>
            <w:tcW w:w="9390" w:type="dxa"/>
          </w:tcPr>
          <w:p w14:paraId="0ADAAAAE"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Зростання удвічі та більше кредиторської заборгованості за продукцію (товари, роботи, послуги) протягом двох попередніх (звітних) років при зростанні запасів</w:t>
            </w:r>
          </w:p>
        </w:tc>
      </w:tr>
      <w:tr w:rsidR="00C405DA" w:rsidRPr="00BD6483" w14:paraId="3E96BE03" w14:textId="77777777" w:rsidTr="00DE65CC">
        <w:tc>
          <w:tcPr>
            <w:tcW w:w="817" w:type="dxa"/>
            <w:vAlign w:val="center"/>
          </w:tcPr>
          <w:p w14:paraId="03EF83D4" w14:textId="1E673F56"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13</w:t>
            </w:r>
          </w:p>
        </w:tc>
        <w:tc>
          <w:tcPr>
            <w:tcW w:w="9390" w:type="dxa"/>
          </w:tcPr>
          <w:p w14:paraId="16A121B4"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Здійснення операцій з реалізації продукції (товарів, робіт, послуг) нижче собівартості або різниця між собівартістю реалізованої продукції (товарів, робіт, послуг) та чистим доходом від реалізації продукції (товарів, робіт, послуг) не перевищує 10 відсотків собівартості реалізованої продукції</w:t>
            </w:r>
          </w:p>
        </w:tc>
      </w:tr>
      <w:tr w:rsidR="00C405DA" w:rsidRPr="00BD6483" w14:paraId="625C16C1" w14:textId="77777777" w:rsidTr="00DE65CC">
        <w:tc>
          <w:tcPr>
            <w:tcW w:w="817" w:type="dxa"/>
            <w:vAlign w:val="center"/>
          </w:tcPr>
          <w:p w14:paraId="38045C8F" w14:textId="5AE946E4"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14</w:t>
            </w:r>
          </w:p>
        </w:tc>
        <w:tc>
          <w:tcPr>
            <w:tcW w:w="9390" w:type="dxa"/>
          </w:tcPr>
          <w:p w14:paraId="1A5FA57B"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Наявність відносин із платниками податків, які обрали спрощену систему оподаткування та є керівниками, засновниками або співробітниками цього підприємства, у сумі операцій понад 5 млн грн або понад 5 відсотків загальних обсягів постачання, але не менше 100 тис. грн</w:t>
            </w:r>
          </w:p>
        </w:tc>
      </w:tr>
      <w:tr w:rsidR="00C405DA" w:rsidRPr="009344BF" w14:paraId="060BAD24" w14:textId="77777777" w:rsidTr="00DE65CC">
        <w:tc>
          <w:tcPr>
            <w:tcW w:w="817" w:type="dxa"/>
            <w:vAlign w:val="center"/>
          </w:tcPr>
          <w:p w14:paraId="01E1D75D" w14:textId="4CAB3922"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15</w:t>
            </w:r>
          </w:p>
        </w:tc>
        <w:tc>
          <w:tcPr>
            <w:tcW w:w="9390" w:type="dxa"/>
          </w:tcPr>
          <w:p w14:paraId="500FB7D1"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Проведення протягом місяця більше трьох ремонтів одного реєстратора розрахункових операцій, не пов’язаних із плановим технічним обслуговуванням</w:t>
            </w:r>
          </w:p>
        </w:tc>
      </w:tr>
      <w:tr w:rsidR="00C405DA" w:rsidRPr="00BD6483" w14:paraId="09043B1A" w14:textId="77777777" w:rsidTr="00DE65CC">
        <w:tc>
          <w:tcPr>
            <w:tcW w:w="817" w:type="dxa"/>
            <w:vAlign w:val="center"/>
          </w:tcPr>
          <w:p w14:paraId="08FDEAE4" w14:textId="3E2F0748"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16</w:t>
            </w:r>
          </w:p>
        </w:tc>
        <w:tc>
          <w:tcPr>
            <w:tcW w:w="9390" w:type="dxa"/>
          </w:tcPr>
          <w:p w14:paraId="1028D1C5"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Наявність у органів ДПС інформації про відсутність торгових патентів і ліцензій у платників податків, які провадять діяльність, що підлягає ліцензуванню</w:t>
            </w:r>
          </w:p>
        </w:tc>
      </w:tr>
      <w:tr w:rsidR="00C405DA" w:rsidRPr="00BD6483" w14:paraId="3ECF9ACC" w14:textId="77777777" w:rsidTr="00DE65CC">
        <w:tc>
          <w:tcPr>
            <w:tcW w:w="817" w:type="dxa"/>
            <w:vAlign w:val="center"/>
          </w:tcPr>
          <w:p w14:paraId="025C0155" w14:textId="3940BC3D"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17</w:t>
            </w:r>
          </w:p>
        </w:tc>
        <w:tc>
          <w:tcPr>
            <w:tcW w:w="9390" w:type="dxa"/>
          </w:tcPr>
          <w:p w14:paraId="1EABC5CA"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Кількість найманих працівників на сільськогосподарських підприємствах менше 5 осіб за наявності у власності та/або оренді земельних ділянок площею понад 10 га, доходу за попередній звітний період у сумі понад 1 млн грн</w:t>
            </w:r>
          </w:p>
        </w:tc>
      </w:tr>
      <w:tr w:rsidR="00C405DA" w:rsidRPr="00BD6483" w14:paraId="4C129728" w14:textId="77777777" w:rsidTr="00DE65CC">
        <w:tc>
          <w:tcPr>
            <w:tcW w:w="817" w:type="dxa"/>
            <w:vAlign w:val="center"/>
          </w:tcPr>
          <w:p w14:paraId="3D72485F" w14:textId="39EA61D3"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18</w:t>
            </w:r>
          </w:p>
        </w:tc>
        <w:tc>
          <w:tcPr>
            <w:tcW w:w="9390" w:type="dxa"/>
          </w:tcPr>
          <w:p w14:paraId="644F2A31"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Кількість найманих працівників на підприємствах будівельної галузі менше 5 осіб за наявності відведених у поточному та/або попередньому звітному роках земельних ділянок площею понад 0,5 га</w:t>
            </w:r>
          </w:p>
        </w:tc>
      </w:tr>
      <w:tr w:rsidR="00C405DA" w:rsidRPr="00BD6483" w14:paraId="585A1DEA" w14:textId="77777777" w:rsidTr="00DE65CC">
        <w:tc>
          <w:tcPr>
            <w:tcW w:w="817" w:type="dxa"/>
            <w:vAlign w:val="center"/>
          </w:tcPr>
          <w:p w14:paraId="003DAEF4" w14:textId="76ABE994"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19</w:t>
            </w:r>
          </w:p>
        </w:tc>
        <w:tc>
          <w:tcPr>
            <w:tcW w:w="9390" w:type="dxa"/>
          </w:tcPr>
          <w:p w14:paraId="596D7CD0"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Наявність зареєстрованого реєстратора розрахункових операцій за відсутності обсягів реалізації товарів (послуг) через такий реєстратор розрахункових операцій</w:t>
            </w:r>
          </w:p>
        </w:tc>
      </w:tr>
      <w:tr w:rsidR="00C405DA" w:rsidRPr="009344BF" w14:paraId="7504C77A" w14:textId="77777777" w:rsidTr="00DE65CC">
        <w:tc>
          <w:tcPr>
            <w:tcW w:w="817" w:type="dxa"/>
            <w:vAlign w:val="center"/>
          </w:tcPr>
          <w:p w14:paraId="143A86E2" w14:textId="1E7847E9"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20</w:t>
            </w:r>
          </w:p>
        </w:tc>
        <w:tc>
          <w:tcPr>
            <w:tcW w:w="9390" w:type="dxa"/>
          </w:tcPr>
          <w:p w14:paraId="24553CA8"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Невідповідність даних звітності реєстратора розрахункових операцій та обсягів постачання, зазначених у деклараціях з податку на додану вартість</w:t>
            </w:r>
          </w:p>
        </w:tc>
      </w:tr>
      <w:tr w:rsidR="00C405DA" w:rsidRPr="009344BF" w14:paraId="3086B2E1" w14:textId="77777777" w:rsidTr="00DE65CC">
        <w:tc>
          <w:tcPr>
            <w:tcW w:w="817" w:type="dxa"/>
            <w:vAlign w:val="center"/>
          </w:tcPr>
          <w:p w14:paraId="53659A57" w14:textId="7E0D2D76"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21</w:t>
            </w:r>
          </w:p>
        </w:tc>
        <w:tc>
          <w:tcPr>
            <w:tcW w:w="9390" w:type="dxa"/>
          </w:tcPr>
          <w:p w14:paraId="7BDEE1BB"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Наявність розбіжностей між обсягами задекларованих у податкових деклараціях з податку на додану вартість податкових зобов’язань або податкового кредиту з податку на додану вартість та обсягами податкових зобов’язань або податкового кредиту з податку на додану вартість за даними ЄРПН на 5 та більше відсотків</w:t>
            </w:r>
          </w:p>
        </w:tc>
      </w:tr>
      <w:tr w:rsidR="00C405DA" w:rsidRPr="009344BF" w14:paraId="1BF83B11" w14:textId="77777777" w:rsidTr="00DE65CC">
        <w:tc>
          <w:tcPr>
            <w:tcW w:w="817" w:type="dxa"/>
            <w:vAlign w:val="center"/>
          </w:tcPr>
          <w:p w14:paraId="3A89239A" w14:textId="498F62F9"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22</w:t>
            </w:r>
          </w:p>
        </w:tc>
        <w:tc>
          <w:tcPr>
            <w:tcW w:w="9390" w:type="dxa"/>
          </w:tcPr>
          <w:p w14:paraId="3A2797D3"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Коригування платником податків податкової звітності з податку на прибуток та/або податку на додану вартість у бік зменшення податкових зобов’язань понад 10 відсотків</w:t>
            </w:r>
          </w:p>
        </w:tc>
      </w:tr>
      <w:tr w:rsidR="00C405DA" w:rsidRPr="00BD6483" w14:paraId="68ED2AF5" w14:textId="77777777" w:rsidTr="00DE65CC">
        <w:tc>
          <w:tcPr>
            <w:tcW w:w="817" w:type="dxa"/>
            <w:vAlign w:val="center"/>
          </w:tcPr>
          <w:p w14:paraId="1CFEC49C" w14:textId="0DD9062B" w:rsidR="00C405DA" w:rsidRPr="00BD6483" w:rsidRDefault="00BD6483" w:rsidP="00BD6483">
            <w:pPr>
              <w:spacing w:line="240" w:lineRule="auto"/>
              <w:jc w:val="center"/>
              <w:rPr>
                <w:rFonts w:eastAsia="Times New Roman"/>
                <w:i/>
                <w:sz w:val="24"/>
                <w:szCs w:val="24"/>
                <w:lang w:val="en-US" w:eastAsia="ru-RU"/>
              </w:rPr>
            </w:pPr>
            <w:r>
              <w:rPr>
                <w:rFonts w:eastAsia="Times New Roman"/>
                <w:i/>
                <w:sz w:val="24"/>
                <w:szCs w:val="24"/>
                <w:lang w:val="en-US" w:eastAsia="ru-RU"/>
              </w:rPr>
              <w:t>23</w:t>
            </w:r>
          </w:p>
        </w:tc>
        <w:tc>
          <w:tcPr>
            <w:tcW w:w="9390" w:type="dxa"/>
          </w:tcPr>
          <w:p w14:paraId="74C94872" w14:textId="68482849" w:rsidR="00C405DA" w:rsidRPr="009344BF" w:rsidRDefault="00C405DA" w:rsidP="00622E81">
            <w:pPr>
              <w:pStyle w:val="rvps2"/>
              <w:shd w:val="clear" w:color="auto" w:fill="FFFFFF"/>
              <w:spacing w:after="150"/>
              <w:jc w:val="both"/>
              <w:rPr>
                <w:color w:val="000000"/>
                <w:lang w:val="uk-UA"/>
              </w:rPr>
            </w:pPr>
            <w:r w:rsidRPr="009344BF">
              <w:rPr>
                <w:color w:val="000000"/>
                <w:lang w:val="uk-UA"/>
              </w:rPr>
              <w:t xml:space="preserve">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що у сумі перевищують </w:t>
            </w:r>
            <w:r w:rsidR="00BD6483">
              <w:rPr>
                <w:color w:val="000000"/>
                <w:lang w:val="en-US"/>
              </w:rPr>
              <w:br/>
            </w:r>
            <w:r w:rsidRPr="009344BF">
              <w:rPr>
                <w:color w:val="000000"/>
                <w:lang w:val="uk-UA"/>
              </w:rPr>
              <w:t xml:space="preserve">10 відсотків </w:t>
            </w:r>
          </w:p>
        </w:tc>
      </w:tr>
      <w:tr w:rsidR="00C405DA" w:rsidRPr="00BD6483" w14:paraId="137FB122" w14:textId="77777777" w:rsidTr="00DE65CC">
        <w:tc>
          <w:tcPr>
            <w:tcW w:w="817" w:type="dxa"/>
            <w:vAlign w:val="center"/>
          </w:tcPr>
          <w:p w14:paraId="6D95E86B" w14:textId="5A9EC008" w:rsidR="00C405DA" w:rsidRPr="00BD6483" w:rsidRDefault="00C405DA" w:rsidP="00BD6483">
            <w:pPr>
              <w:spacing w:line="240" w:lineRule="auto"/>
              <w:jc w:val="center"/>
              <w:rPr>
                <w:rFonts w:eastAsia="Times New Roman"/>
                <w:i/>
                <w:sz w:val="24"/>
                <w:szCs w:val="24"/>
                <w:lang w:val="en-US" w:eastAsia="ru-RU"/>
              </w:rPr>
            </w:pPr>
            <w:r>
              <w:rPr>
                <w:rFonts w:eastAsia="Times New Roman"/>
                <w:i/>
                <w:sz w:val="24"/>
                <w:szCs w:val="24"/>
                <w:lang w:val="uk-UA" w:eastAsia="ru-RU"/>
              </w:rPr>
              <w:t>2</w:t>
            </w:r>
            <w:r w:rsidR="00BD6483">
              <w:rPr>
                <w:rFonts w:eastAsia="Times New Roman"/>
                <w:i/>
                <w:sz w:val="24"/>
                <w:szCs w:val="24"/>
                <w:lang w:val="en-US" w:eastAsia="ru-RU"/>
              </w:rPr>
              <w:t>4</w:t>
            </w:r>
          </w:p>
        </w:tc>
        <w:tc>
          <w:tcPr>
            <w:tcW w:w="9390" w:type="dxa"/>
          </w:tcPr>
          <w:p w14:paraId="2B0254E5" w14:textId="7D17B4FB" w:rsidR="00C405DA" w:rsidRPr="009344BF" w:rsidRDefault="00C405DA" w:rsidP="00622E81">
            <w:pPr>
              <w:pStyle w:val="rvps2"/>
              <w:shd w:val="clear" w:color="auto" w:fill="FFFFFF"/>
              <w:spacing w:after="150"/>
              <w:jc w:val="both"/>
              <w:rPr>
                <w:lang w:val="uk-UA"/>
              </w:rPr>
            </w:pPr>
            <w:r w:rsidRPr="009344BF">
              <w:rPr>
                <w:lang w:val="uk-UA"/>
              </w:rPr>
              <w:t>Здійснення платником податків коригування звітності шляхом зменшення фінансового результату до оподаткування,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від</w:t>
            </w:r>
            <w:r w:rsidR="00BD6483">
              <w:rPr>
                <w:lang w:val="en-US"/>
              </w:rPr>
              <w:t xml:space="preserve"> 10 </w:t>
            </w:r>
            <w:r w:rsidR="00BD6483">
              <w:rPr>
                <w:lang w:val="uk-UA"/>
              </w:rPr>
              <w:t>до</w:t>
            </w:r>
            <w:r w:rsidRPr="009344BF">
              <w:rPr>
                <w:lang w:val="uk-UA"/>
              </w:rPr>
              <w:t xml:space="preserve"> 20 відсотків</w:t>
            </w:r>
          </w:p>
        </w:tc>
      </w:tr>
      <w:tr w:rsidR="00C405DA" w:rsidRPr="009344BF" w14:paraId="785AAC6E" w14:textId="77777777" w:rsidTr="00DE65CC">
        <w:tc>
          <w:tcPr>
            <w:tcW w:w="817" w:type="dxa"/>
            <w:vAlign w:val="center"/>
          </w:tcPr>
          <w:p w14:paraId="24BB13F5" w14:textId="149F5D7F"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uk-UA" w:eastAsia="ru-RU"/>
              </w:rPr>
              <w:t>2</w:t>
            </w:r>
            <w:r>
              <w:rPr>
                <w:rFonts w:eastAsia="Times New Roman"/>
                <w:i/>
                <w:sz w:val="24"/>
                <w:szCs w:val="24"/>
                <w:lang w:val="en-US" w:eastAsia="ru-RU"/>
              </w:rPr>
              <w:t>5</w:t>
            </w:r>
          </w:p>
        </w:tc>
        <w:tc>
          <w:tcPr>
            <w:tcW w:w="9390" w:type="dxa"/>
          </w:tcPr>
          <w:p w14:paraId="37F97718" w14:textId="77777777" w:rsidR="00C405DA" w:rsidRPr="009344BF" w:rsidRDefault="00C405DA" w:rsidP="00622E81">
            <w:pPr>
              <w:pStyle w:val="rvps2"/>
              <w:shd w:val="clear" w:color="auto" w:fill="FFFFFF"/>
              <w:jc w:val="both"/>
              <w:rPr>
                <w:color w:val="000000"/>
                <w:lang w:val="uk-UA"/>
              </w:rPr>
            </w:pPr>
            <w:r w:rsidRPr="009344BF">
              <w:rPr>
                <w:color w:val="000000"/>
                <w:lang w:val="uk-UA"/>
              </w:rPr>
              <w:t xml:space="preserve">Відсоток утриманої суми податку на доходи фізичних осіб та військового збору нижче за 10 відсотків суми виплаченого доходу у вигляді заробітної плати </w:t>
            </w:r>
          </w:p>
        </w:tc>
      </w:tr>
      <w:tr w:rsidR="00C405DA" w:rsidRPr="009344BF" w14:paraId="16F1843A" w14:textId="77777777" w:rsidTr="00DE65CC">
        <w:tc>
          <w:tcPr>
            <w:tcW w:w="817" w:type="dxa"/>
            <w:vAlign w:val="center"/>
          </w:tcPr>
          <w:p w14:paraId="4995FA90" w14:textId="2D167A61"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uk-UA" w:eastAsia="ru-RU"/>
              </w:rPr>
              <w:t>2</w:t>
            </w:r>
            <w:r>
              <w:rPr>
                <w:rFonts w:eastAsia="Times New Roman"/>
                <w:i/>
                <w:sz w:val="24"/>
                <w:szCs w:val="24"/>
                <w:lang w:val="en-US" w:eastAsia="ru-RU"/>
              </w:rPr>
              <w:t>6</w:t>
            </w:r>
          </w:p>
        </w:tc>
        <w:tc>
          <w:tcPr>
            <w:tcW w:w="9390" w:type="dxa"/>
          </w:tcPr>
          <w:p w14:paraId="19BA30DE" w14:textId="77777777" w:rsidR="00C405DA" w:rsidRPr="009344BF" w:rsidRDefault="00C405DA" w:rsidP="00622E81">
            <w:pPr>
              <w:pStyle w:val="rvps2"/>
              <w:shd w:val="clear" w:color="auto" w:fill="FFFFFF"/>
              <w:jc w:val="both"/>
              <w:rPr>
                <w:color w:val="000000"/>
                <w:lang w:val="uk-UA"/>
              </w:rPr>
            </w:pPr>
            <w:r w:rsidRPr="009344BF">
              <w:rPr>
                <w:color w:val="000000"/>
                <w:lang w:val="uk-UA"/>
              </w:rPr>
              <w:t xml:space="preserve">Нарахування заробітної плати у сумі менше законодавчо встановленого розміру мінімальної заробітної плати за наявності доходу за попередній звітний період у сумі 1 млн грн та більше </w:t>
            </w:r>
          </w:p>
        </w:tc>
      </w:tr>
      <w:tr w:rsidR="00C405DA" w:rsidRPr="00BD6483" w14:paraId="0966C044" w14:textId="77777777" w:rsidTr="00DE65CC">
        <w:tc>
          <w:tcPr>
            <w:tcW w:w="817" w:type="dxa"/>
            <w:vAlign w:val="center"/>
          </w:tcPr>
          <w:p w14:paraId="4A6A54CD" w14:textId="7425DAB2"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uk-UA" w:eastAsia="ru-RU"/>
              </w:rPr>
              <w:t>2</w:t>
            </w:r>
            <w:r>
              <w:rPr>
                <w:rFonts w:eastAsia="Times New Roman"/>
                <w:i/>
                <w:sz w:val="24"/>
                <w:szCs w:val="24"/>
                <w:lang w:val="en-US" w:eastAsia="ru-RU"/>
              </w:rPr>
              <w:t>7</w:t>
            </w:r>
          </w:p>
        </w:tc>
        <w:tc>
          <w:tcPr>
            <w:tcW w:w="9390" w:type="dxa"/>
          </w:tcPr>
          <w:p w14:paraId="6C440AFF" w14:textId="77777777" w:rsidR="00C405DA" w:rsidRPr="009344BF" w:rsidRDefault="00C405DA" w:rsidP="00622E81">
            <w:pPr>
              <w:pStyle w:val="rvps2"/>
              <w:shd w:val="clear" w:color="auto" w:fill="FFFFFF"/>
              <w:spacing w:after="150"/>
              <w:jc w:val="both"/>
              <w:rPr>
                <w:color w:val="000000"/>
                <w:lang w:val="uk-UA"/>
              </w:rPr>
            </w:pPr>
            <w:r w:rsidRPr="009344BF">
              <w:rPr>
                <w:color w:val="000000"/>
                <w:lang w:val="uk-UA"/>
              </w:rPr>
              <w:t>Наявність інформації про ухилення від оподаткування, отриманої із зовнішніх джерел</w:t>
            </w:r>
          </w:p>
        </w:tc>
      </w:tr>
      <w:tr w:rsidR="00C405DA" w:rsidRPr="009344BF" w14:paraId="604C172E" w14:textId="77777777" w:rsidTr="00DE65CC">
        <w:tc>
          <w:tcPr>
            <w:tcW w:w="817" w:type="dxa"/>
            <w:vAlign w:val="center"/>
          </w:tcPr>
          <w:p w14:paraId="45EAAC45" w14:textId="1A73EBD3"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uk-UA" w:eastAsia="ru-RU"/>
              </w:rPr>
              <w:t>2</w:t>
            </w:r>
            <w:r>
              <w:rPr>
                <w:rFonts w:eastAsia="Times New Roman"/>
                <w:i/>
                <w:sz w:val="24"/>
                <w:szCs w:val="24"/>
                <w:lang w:val="en-US" w:eastAsia="ru-RU"/>
              </w:rPr>
              <w:t>8</w:t>
            </w:r>
          </w:p>
        </w:tc>
        <w:tc>
          <w:tcPr>
            <w:tcW w:w="9390" w:type="dxa"/>
          </w:tcPr>
          <w:p w14:paraId="56DFBC6A" w14:textId="385B160F" w:rsidR="00C405DA" w:rsidRPr="009344BF" w:rsidRDefault="00C405DA" w:rsidP="0074495C">
            <w:pPr>
              <w:pStyle w:val="rvps2"/>
              <w:shd w:val="clear" w:color="auto" w:fill="FFFFFF"/>
              <w:spacing w:after="150"/>
              <w:jc w:val="both"/>
              <w:rPr>
                <w:color w:val="000000"/>
                <w:lang w:val="uk-UA"/>
              </w:rPr>
            </w:pPr>
            <w:r w:rsidRPr="009344BF">
              <w:rPr>
                <w:color w:val="000000"/>
                <w:lang w:val="uk-UA"/>
              </w:rPr>
              <w:t>Показники податкової звітності</w:t>
            </w:r>
            <w:r w:rsidR="0074495C">
              <w:rPr>
                <w:color w:val="000000"/>
                <w:lang w:val="uk-UA"/>
              </w:rPr>
              <w:t xml:space="preserve"> нерезидентів</w:t>
            </w:r>
            <w:r w:rsidRPr="009344BF">
              <w:rPr>
                <w:color w:val="000000"/>
                <w:lang w:val="uk-UA"/>
              </w:rPr>
              <w:t>, які характеризують діяльність</w:t>
            </w:r>
            <w:r w:rsidR="0074495C">
              <w:rPr>
                <w:color w:val="000000"/>
                <w:lang w:val="uk-UA"/>
              </w:rPr>
              <w:t xml:space="preserve"> їх</w:t>
            </w:r>
            <w:r w:rsidRPr="009344BF">
              <w:rPr>
                <w:color w:val="000000"/>
                <w:lang w:val="uk-UA"/>
              </w:rPr>
              <w:t xml:space="preserve"> постійних представництв</w:t>
            </w:r>
            <w:r w:rsidR="0074495C">
              <w:rPr>
                <w:color w:val="000000"/>
                <w:lang w:val="uk-UA"/>
              </w:rPr>
              <w:t xml:space="preserve"> </w:t>
            </w:r>
            <w:bookmarkStart w:id="10" w:name="_GoBack"/>
            <w:bookmarkEnd w:id="10"/>
            <w:r w:rsidR="0074495C">
              <w:rPr>
                <w:color w:val="000000"/>
                <w:lang w:val="uk-UA"/>
              </w:rPr>
              <w:t>та</w:t>
            </w:r>
            <w:r w:rsidRPr="009344BF">
              <w:rPr>
                <w:color w:val="000000"/>
                <w:lang w:val="uk-UA"/>
              </w:rPr>
              <w:t xml:space="preserve"> свідчать про можливість заниження податку на прибуток або ризики несплати податків </w:t>
            </w:r>
          </w:p>
        </w:tc>
      </w:tr>
      <w:tr w:rsidR="00C405DA" w:rsidRPr="009344BF" w14:paraId="388FF57D" w14:textId="77777777" w:rsidTr="00DE65CC">
        <w:tc>
          <w:tcPr>
            <w:tcW w:w="817" w:type="dxa"/>
            <w:vAlign w:val="center"/>
          </w:tcPr>
          <w:p w14:paraId="62223665" w14:textId="3FC28F2A"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lastRenderedPageBreak/>
              <w:t>29</w:t>
            </w:r>
          </w:p>
        </w:tc>
        <w:tc>
          <w:tcPr>
            <w:tcW w:w="9390" w:type="dxa"/>
          </w:tcPr>
          <w:p w14:paraId="558DB61A" w14:textId="77777777" w:rsidR="00C405DA" w:rsidRPr="009344BF" w:rsidRDefault="00C405DA" w:rsidP="00622E81">
            <w:pPr>
              <w:spacing w:line="240" w:lineRule="auto"/>
              <w:rPr>
                <w:sz w:val="24"/>
                <w:szCs w:val="24"/>
                <w:lang w:val="uk-UA"/>
              </w:rPr>
            </w:pPr>
            <w:r w:rsidRPr="009344BF">
              <w:rPr>
                <w:sz w:val="24"/>
                <w:szCs w:val="24"/>
                <w:lang w:val="uk-UA"/>
              </w:rPr>
              <w:t>Значна частка взаємовідносин із нерезидентом в операціях платника податків</w:t>
            </w:r>
          </w:p>
        </w:tc>
      </w:tr>
      <w:tr w:rsidR="00C405DA" w:rsidRPr="009344BF" w14:paraId="4E51C785" w14:textId="77777777" w:rsidTr="00DE65CC">
        <w:tc>
          <w:tcPr>
            <w:tcW w:w="817" w:type="dxa"/>
            <w:vAlign w:val="center"/>
          </w:tcPr>
          <w:p w14:paraId="05C9816C" w14:textId="2DCF7DA2"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30</w:t>
            </w:r>
          </w:p>
        </w:tc>
        <w:tc>
          <w:tcPr>
            <w:tcW w:w="9390" w:type="dxa"/>
          </w:tcPr>
          <w:p w14:paraId="1E76CAE0" w14:textId="77777777" w:rsidR="00C405DA" w:rsidRPr="009344BF" w:rsidRDefault="00C405DA" w:rsidP="00622E81">
            <w:pPr>
              <w:spacing w:line="240" w:lineRule="auto"/>
              <w:rPr>
                <w:sz w:val="24"/>
                <w:szCs w:val="24"/>
                <w:lang w:val="uk-UA"/>
              </w:rPr>
            </w:pPr>
            <w:r w:rsidRPr="009344BF">
              <w:rPr>
                <w:sz w:val="24"/>
                <w:szCs w:val="24"/>
                <w:lang w:val="uk-UA"/>
              </w:rPr>
              <w:t xml:space="preserve">Наявність операцій з нерезидентами, зареєстрованими в </w:t>
            </w:r>
            <w:proofErr w:type="spellStart"/>
            <w:r w:rsidRPr="009344BF">
              <w:rPr>
                <w:sz w:val="24"/>
                <w:szCs w:val="24"/>
                <w:lang w:val="uk-UA"/>
              </w:rPr>
              <w:t>низькоподаткових</w:t>
            </w:r>
            <w:proofErr w:type="spellEnd"/>
            <w:r w:rsidRPr="009344BF">
              <w:rPr>
                <w:sz w:val="24"/>
                <w:szCs w:val="24"/>
                <w:lang w:val="uk-UA"/>
              </w:rPr>
              <w:t xml:space="preserve"> юрисдикціях</w:t>
            </w:r>
          </w:p>
        </w:tc>
      </w:tr>
      <w:tr w:rsidR="00C405DA" w:rsidRPr="009344BF" w14:paraId="03C66645" w14:textId="77777777" w:rsidTr="00DE65CC">
        <w:tc>
          <w:tcPr>
            <w:tcW w:w="817" w:type="dxa"/>
            <w:vAlign w:val="center"/>
          </w:tcPr>
          <w:p w14:paraId="3260127B" w14:textId="63262D86" w:rsidR="00C405DA" w:rsidRPr="00BD6483" w:rsidRDefault="00C405DA" w:rsidP="00BD6483">
            <w:pPr>
              <w:spacing w:line="240" w:lineRule="auto"/>
              <w:jc w:val="center"/>
              <w:rPr>
                <w:rFonts w:eastAsia="Times New Roman"/>
                <w:i/>
                <w:sz w:val="24"/>
                <w:szCs w:val="24"/>
                <w:lang w:val="en-US" w:eastAsia="ru-RU"/>
              </w:rPr>
            </w:pPr>
            <w:r w:rsidRPr="009344BF">
              <w:rPr>
                <w:rFonts w:eastAsia="Times New Roman"/>
                <w:i/>
                <w:sz w:val="24"/>
                <w:szCs w:val="24"/>
                <w:lang w:val="uk-UA" w:eastAsia="ru-RU"/>
              </w:rPr>
              <w:t>3</w:t>
            </w:r>
            <w:r w:rsidR="00BD6483">
              <w:rPr>
                <w:rFonts w:eastAsia="Times New Roman"/>
                <w:i/>
                <w:sz w:val="24"/>
                <w:szCs w:val="24"/>
                <w:lang w:val="en-US" w:eastAsia="ru-RU"/>
              </w:rPr>
              <w:t>1</w:t>
            </w:r>
          </w:p>
        </w:tc>
        <w:tc>
          <w:tcPr>
            <w:tcW w:w="9390" w:type="dxa"/>
          </w:tcPr>
          <w:p w14:paraId="2AB1D85E" w14:textId="77777777" w:rsidR="00C405DA" w:rsidRPr="009344BF" w:rsidRDefault="00C405DA" w:rsidP="00622E81">
            <w:pPr>
              <w:spacing w:line="240" w:lineRule="auto"/>
              <w:rPr>
                <w:sz w:val="24"/>
                <w:szCs w:val="24"/>
                <w:lang w:val="uk-UA"/>
              </w:rPr>
            </w:pPr>
            <w:r w:rsidRPr="009344BF">
              <w:rPr>
                <w:sz w:val="24"/>
                <w:szCs w:val="24"/>
                <w:lang w:val="uk-UA"/>
              </w:rPr>
              <w:t>Наявність операцій з нерезидентами, зареєстрованими в організаційно-правових формах, що не передбачають сплати корпоративного податку / податку на прибуток в його юрисдикції</w:t>
            </w:r>
          </w:p>
        </w:tc>
      </w:tr>
      <w:tr w:rsidR="00C405DA" w:rsidRPr="009344BF" w14:paraId="2FF6B707" w14:textId="77777777" w:rsidTr="00DE65CC">
        <w:tc>
          <w:tcPr>
            <w:tcW w:w="817" w:type="dxa"/>
            <w:vAlign w:val="center"/>
          </w:tcPr>
          <w:p w14:paraId="6D4E098E" w14:textId="78DC1A1A"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32</w:t>
            </w:r>
          </w:p>
        </w:tc>
        <w:tc>
          <w:tcPr>
            <w:tcW w:w="9390" w:type="dxa"/>
          </w:tcPr>
          <w:p w14:paraId="65D17808" w14:textId="77777777" w:rsidR="00C405DA" w:rsidRPr="009344BF" w:rsidRDefault="00C405DA" w:rsidP="00622E81">
            <w:pPr>
              <w:spacing w:line="240" w:lineRule="auto"/>
              <w:rPr>
                <w:sz w:val="24"/>
                <w:szCs w:val="24"/>
                <w:lang w:val="uk-UA"/>
              </w:rPr>
            </w:pPr>
            <w:r w:rsidRPr="009344BF">
              <w:rPr>
                <w:sz w:val="24"/>
                <w:szCs w:val="24"/>
                <w:lang w:val="uk-UA"/>
              </w:rPr>
              <w:t xml:space="preserve">Операція скоріш за все не здійснювалася б коли мало місце розумне ведення бізнесу </w:t>
            </w:r>
          </w:p>
        </w:tc>
      </w:tr>
      <w:tr w:rsidR="00C405DA" w:rsidRPr="009344BF" w14:paraId="58DD1CCE" w14:textId="77777777" w:rsidTr="00DE65CC">
        <w:tc>
          <w:tcPr>
            <w:tcW w:w="817" w:type="dxa"/>
            <w:vAlign w:val="center"/>
          </w:tcPr>
          <w:p w14:paraId="26D86581" w14:textId="38BCF5EB"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33</w:t>
            </w:r>
          </w:p>
        </w:tc>
        <w:tc>
          <w:tcPr>
            <w:tcW w:w="9390" w:type="dxa"/>
          </w:tcPr>
          <w:p w14:paraId="56BAD729" w14:textId="77777777" w:rsidR="00C405DA" w:rsidRPr="009344BF" w:rsidRDefault="00C405DA" w:rsidP="00622E81">
            <w:pPr>
              <w:spacing w:line="240" w:lineRule="auto"/>
              <w:rPr>
                <w:sz w:val="24"/>
                <w:szCs w:val="24"/>
                <w:lang w:val="uk-UA"/>
              </w:rPr>
            </w:pPr>
            <w:r w:rsidRPr="009344BF">
              <w:rPr>
                <w:sz w:val="24"/>
                <w:szCs w:val="24"/>
                <w:lang w:val="uk-UA"/>
              </w:rPr>
              <w:t>Угода про уникнення подвійного оподаткування між Україною та країною нерезидента-контрагента дозволяє не сплачувати податок або сплачувати його у незначних розмірах</w:t>
            </w:r>
          </w:p>
        </w:tc>
      </w:tr>
      <w:tr w:rsidR="00C405DA" w:rsidRPr="009344BF" w14:paraId="5BC67496" w14:textId="77777777" w:rsidTr="00DE65CC">
        <w:tc>
          <w:tcPr>
            <w:tcW w:w="817" w:type="dxa"/>
            <w:vAlign w:val="center"/>
          </w:tcPr>
          <w:p w14:paraId="35A6EDAB" w14:textId="76F80BA8"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34</w:t>
            </w:r>
          </w:p>
        </w:tc>
        <w:tc>
          <w:tcPr>
            <w:tcW w:w="9390" w:type="dxa"/>
          </w:tcPr>
          <w:p w14:paraId="5FF88300" w14:textId="77777777" w:rsidR="00C405DA" w:rsidRPr="009344BF" w:rsidRDefault="00C405DA" w:rsidP="00622E81">
            <w:pPr>
              <w:spacing w:line="240" w:lineRule="auto"/>
              <w:rPr>
                <w:sz w:val="24"/>
                <w:szCs w:val="24"/>
                <w:lang w:val="uk-UA"/>
              </w:rPr>
            </w:pPr>
            <w:r w:rsidRPr="009344BF">
              <w:rPr>
                <w:sz w:val="24"/>
                <w:szCs w:val="24"/>
                <w:lang w:val="uk-UA"/>
              </w:rPr>
              <w:t>Наявність посередницьких договорів, укладених з нерезидентами</w:t>
            </w:r>
          </w:p>
        </w:tc>
      </w:tr>
      <w:tr w:rsidR="00C405DA" w:rsidRPr="009344BF" w14:paraId="635211F0" w14:textId="77777777" w:rsidTr="00DE65CC">
        <w:tc>
          <w:tcPr>
            <w:tcW w:w="817" w:type="dxa"/>
            <w:vAlign w:val="center"/>
          </w:tcPr>
          <w:p w14:paraId="6773734F" w14:textId="5E7F429E"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35</w:t>
            </w:r>
          </w:p>
        </w:tc>
        <w:tc>
          <w:tcPr>
            <w:tcW w:w="9390" w:type="dxa"/>
          </w:tcPr>
          <w:p w14:paraId="531B8F37" w14:textId="77777777" w:rsidR="00C405DA" w:rsidRPr="009344BF" w:rsidRDefault="00C405DA" w:rsidP="00622E81">
            <w:pPr>
              <w:spacing w:line="240" w:lineRule="auto"/>
              <w:rPr>
                <w:sz w:val="24"/>
                <w:szCs w:val="24"/>
                <w:lang w:val="uk-UA"/>
              </w:rPr>
            </w:pPr>
            <w:r w:rsidRPr="009344BF">
              <w:rPr>
                <w:sz w:val="24"/>
                <w:szCs w:val="24"/>
                <w:lang w:val="uk-UA"/>
              </w:rPr>
              <w:t xml:space="preserve">Наявність нерезидентів (юридичних або фізичних осіб) у складі засновників / </w:t>
            </w:r>
            <w:proofErr w:type="spellStart"/>
            <w:r w:rsidRPr="009344BF">
              <w:rPr>
                <w:sz w:val="24"/>
                <w:szCs w:val="24"/>
                <w:lang w:val="uk-UA"/>
              </w:rPr>
              <w:t>бенефіціарних</w:t>
            </w:r>
            <w:proofErr w:type="spellEnd"/>
            <w:r w:rsidRPr="009344BF">
              <w:rPr>
                <w:sz w:val="24"/>
                <w:szCs w:val="24"/>
                <w:lang w:val="uk-UA"/>
              </w:rPr>
              <w:t xml:space="preserve"> власників платника </w:t>
            </w:r>
          </w:p>
        </w:tc>
      </w:tr>
      <w:tr w:rsidR="00C405DA" w:rsidRPr="009344BF" w14:paraId="5BA344F7" w14:textId="77777777" w:rsidTr="00DE65CC">
        <w:tc>
          <w:tcPr>
            <w:tcW w:w="817" w:type="dxa"/>
            <w:vAlign w:val="center"/>
          </w:tcPr>
          <w:p w14:paraId="5E86FFAC" w14:textId="4848E47A" w:rsidR="00C405DA" w:rsidRPr="00BD6483" w:rsidRDefault="00C405DA" w:rsidP="00BD6483">
            <w:pPr>
              <w:spacing w:line="240" w:lineRule="auto"/>
              <w:jc w:val="center"/>
              <w:rPr>
                <w:rFonts w:eastAsia="Times New Roman"/>
                <w:i/>
                <w:sz w:val="24"/>
                <w:szCs w:val="24"/>
                <w:lang w:val="en-US" w:eastAsia="ru-RU"/>
              </w:rPr>
            </w:pPr>
            <w:r>
              <w:rPr>
                <w:rFonts w:eastAsia="Times New Roman"/>
                <w:i/>
                <w:sz w:val="24"/>
                <w:szCs w:val="24"/>
                <w:lang w:val="uk-UA" w:eastAsia="ru-RU"/>
              </w:rPr>
              <w:t>3</w:t>
            </w:r>
            <w:r w:rsidR="00BD6483">
              <w:rPr>
                <w:rFonts w:eastAsia="Times New Roman"/>
                <w:i/>
                <w:sz w:val="24"/>
                <w:szCs w:val="24"/>
                <w:lang w:val="en-US" w:eastAsia="ru-RU"/>
              </w:rPr>
              <w:t>6</w:t>
            </w:r>
          </w:p>
        </w:tc>
        <w:tc>
          <w:tcPr>
            <w:tcW w:w="9390" w:type="dxa"/>
          </w:tcPr>
          <w:p w14:paraId="7C0B615E" w14:textId="77777777" w:rsidR="00C405DA" w:rsidRPr="009344BF" w:rsidRDefault="00C405DA" w:rsidP="00622E81">
            <w:pPr>
              <w:spacing w:line="240" w:lineRule="auto"/>
              <w:rPr>
                <w:sz w:val="24"/>
                <w:szCs w:val="24"/>
                <w:lang w:val="uk-UA"/>
              </w:rPr>
            </w:pPr>
            <w:r w:rsidRPr="009344BF">
              <w:rPr>
                <w:sz w:val="24"/>
                <w:szCs w:val="24"/>
                <w:lang w:val="uk-UA"/>
              </w:rPr>
              <w:t xml:space="preserve">Здійснення операцій з фінансовими компаніями які є афілійованими або маловідомими, не мають репутації, не входять до профільних рейтингів тощо </w:t>
            </w:r>
          </w:p>
        </w:tc>
      </w:tr>
      <w:tr w:rsidR="00C405DA" w:rsidRPr="009344BF" w14:paraId="19B46F52" w14:textId="77777777" w:rsidTr="00DE65CC">
        <w:tc>
          <w:tcPr>
            <w:tcW w:w="817" w:type="dxa"/>
            <w:vAlign w:val="center"/>
          </w:tcPr>
          <w:p w14:paraId="21998E46" w14:textId="425C304C" w:rsidR="00C405DA" w:rsidRPr="00BD6483" w:rsidRDefault="00C405DA" w:rsidP="00BD6483">
            <w:pPr>
              <w:spacing w:line="240" w:lineRule="auto"/>
              <w:jc w:val="center"/>
              <w:rPr>
                <w:rFonts w:eastAsia="Times New Roman"/>
                <w:i/>
                <w:sz w:val="24"/>
                <w:szCs w:val="24"/>
                <w:lang w:val="en-US" w:eastAsia="ru-RU"/>
              </w:rPr>
            </w:pPr>
            <w:r>
              <w:rPr>
                <w:rFonts w:eastAsia="Times New Roman"/>
                <w:i/>
                <w:sz w:val="24"/>
                <w:szCs w:val="24"/>
                <w:lang w:val="uk-UA" w:eastAsia="ru-RU"/>
              </w:rPr>
              <w:t>3</w:t>
            </w:r>
            <w:r w:rsidR="00BD6483">
              <w:rPr>
                <w:rFonts w:eastAsia="Times New Roman"/>
                <w:i/>
                <w:sz w:val="24"/>
                <w:szCs w:val="24"/>
                <w:lang w:val="en-US" w:eastAsia="ru-RU"/>
              </w:rPr>
              <w:t>7</w:t>
            </w:r>
          </w:p>
        </w:tc>
        <w:tc>
          <w:tcPr>
            <w:tcW w:w="9390" w:type="dxa"/>
          </w:tcPr>
          <w:p w14:paraId="1AF3E567" w14:textId="77777777" w:rsidR="00C405DA" w:rsidRPr="009344BF" w:rsidRDefault="00C405DA" w:rsidP="00622E81">
            <w:pPr>
              <w:spacing w:line="240" w:lineRule="auto"/>
              <w:rPr>
                <w:sz w:val="24"/>
                <w:szCs w:val="24"/>
                <w:lang w:val="uk-UA"/>
              </w:rPr>
            </w:pPr>
            <w:r w:rsidRPr="009344BF">
              <w:rPr>
                <w:sz w:val="24"/>
                <w:szCs w:val="24"/>
                <w:lang w:val="uk-UA"/>
              </w:rPr>
              <w:t>Виплата значних сум ліцензійних платежів</w:t>
            </w:r>
          </w:p>
        </w:tc>
      </w:tr>
      <w:tr w:rsidR="00C405DA" w:rsidRPr="009344BF" w14:paraId="51177149" w14:textId="77777777" w:rsidTr="00DE65CC">
        <w:tc>
          <w:tcPr>
            <w:tcW w:w="817" w:type="dxa"/>
            <w:vAlign w:val="center"/>
          </w:tcPr>
          <w:p w14:paraId="3A1F5A88" w14:textId="08586919" w:rsidR="00C405DA" w:rsidRPr="00BD6483" w:rsidRDefault="00C405DA" w:rsidP="00BD6483">
            <w:pPr>
              <w:spacing w:line="240" w:lineRule="auto"/>
              <w:jc w:val="center"/>
              <w:rPr>
                <w:rFonts w:eastAsia="Times New Roman"/>
                <w:i/>
                <w:sz w:val="24"/>
                <w:szCs w:val="24"/>
                <w:lang w:val="en-US" w:eastAsia="ru-RU"/>
              </w:rPr>
            </w:pPr>
            <w:r>
              <w:rPr>
                <w:rFonts w:eastAsia="Times New Roman"/>
                <w:i/>
                <w:sz w:val="24"/>
                <w:szCs w:val="24"/>
                <w:lang w:val="uk-UA" w:eastAsia="ru-RU"/>
              </w:rPr>
              <w:t>3</w:t>
            </w:r>
            <w:r w:rsidR="00BD6483">
              <w:rPr>
                <w:rFonts w:eastAsia="Times New Roman"/>
                <w:i/>
                <w:sz w:val="24"/>
                <w:szCs w:val="24"/>
                <w:lang w:val="en-US" w:eastAsia="ru-RU"/>
              </w:rPr>
              <w:t>8</w:t>
            </w:r>
          </w:p>
        </w:tc>
        <w:tc>
          <w:tcPr>
            <w:tcW w:w="9390" w:type="dxa"/>
          </w:tcPr>
          <w:p w14:paraId="5FE0E0A8" w14:textId="77777777" w:rsidR="00C405DA" w:rsidRPr="009344BF" w:rsidRDefault="00C405DA" w:rsidP="00622E81">
            <w:pPr>
              <w:spacing w:line="240" w:lineRule="auto"/>
              <w:rPr>
                <w:sz w:val="24"/>
                <w:szCs w:val="24"/>
                <w:lang w:val="uk-UA"/>
              </w:rPr>
            </w:pPr>
            <w:r w:rsidRPr="009344BF">
              <w:rPr>
                <w:sz w:val="24"/>
                <w:szCs w:val="24"/>
                <w:lang w:val="uk-UA"/>
              </w:rPr>
              <w:t>Наявність заборгованості за кредитами / позиками / довгострокової кредиторської заборгованості перед нерезидентами – пов’язаними особами</w:t>
            </w:r>
          </w:p>
        </w:tc>
      </w:tr>
      <w:tr w:rsidR="00C405DA" w:rsidRPr="009344BF" w14:paraId="3C3D0224" w14:textId="77777777" w:rsidTr="00DE65CC">
        <w:tc>
          <w:tcPr>
            <w:tcW w:w="817" w:type="dxa"/>
            <w:vAlign w:val="center"/>
          </w:tcPr>
          <w:p w14:paraId="0B61D8B6" w14:textId="08AF94E1"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39</w:t>
            </w:r>
          </w:p>
        </w:tc>
        <w:tc>
          <w:tcPr>
            <w:tcW w:w="9390" w:type="dxa"/>
          </w:tcPr>
          <w:p w14:paraId="43C373C4" w14:textId="77777777" w:rsidR="00C405DA" w:rsidRPr="009344BF" w:rsidRDefault="00C405DA" w:rsidP="00622E81">
            <w:pPr>
              <w:spacing w:line="240" w:lineRule="auto"/>
              <w:rPr>
                <w:sz w:val="24"/>
                <w:szCs w:val="24"/>
                <w:lang w:val="uk-UA"/>
              </w:rPr>
            </w:pPr>
            <w:r w:rsidRPr="009344BF">
              <w:rPr>
                <w:sz w:val="24"/>
                <w:szCs w:val="24"/>
                <w:lang w:val="uk-UA"/>
              </w:rPr>
              <w:t>Наявність виплат нерезидентам роялті, комісійних винагород, оплата послуг, відносно яких існують сумніви щодо реальності їх отримання платником податків</w:t>
            </w:r>
          </w:p>
        </w:tc>
      </w:tr>
      <w:tr w:rsidR="00C405DA" w:rsidRPr="009344BF" w14:paraId="14D0997F" w14:textId="77777777" w:rsidTr="00DE65CC">
        <w:tc>
          <w:tcPr>
            <w:tcW w:w="817" w:type="dxa"/>
            <w:vAlign w:val="center"/>
          </w:tcPr>
          <w:p w14:paraId="0B87F40D" w14:textId="3BC5503B"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40</w:t>
            </w:r>
          </w:p>
        </w:tc>
        <w:tc>
          <w:tcPr>
            <w:tcW w:w="9390" w:type="dxa"/>
          </w:tcPr>
          <w:p w14:paraId="79AA4972" w14:textId="77777777" w:rsidR="00C405DA" w:rsidRPr="009344BF" w:rsidRDefault="00C405DA" w:rsidP="00622E81">
            <w:pPr>
              <w:spacing w:line="240" w:lineRule="auto"/>
              <w:rPr>
                <w:sz w:val="24"/>
                <w:szCs w:val="24"/>
                <w:lang w:val="uk-UA"/>
              </w:rPr>
            </w:pPr>
            <w:r w:rsidRPr="009344BF">
              <w:rPr>
                <w:sz w:val="24"/>
                <w:szCs w:val="24"/>
                <w:lang w:val="uk-UA"/>
              </w:rPr>
              <w:t xml:space="preserve">Наявність незавершеного виробництва станом на останню звітну дату  </w:t>
            </w:r>
          </w:p>
        </w:tc>
      </w:tr>
      <w:tr w:rsidR="00C405DA" w:rsidRPr="009344BF" w14:paraId="5DCCFDA5" w14:textId="77777777" w:rsidTr="00DE65CC">
        <w:tc>
          <w:tcPr>
            <w:tcW w:w="817" w:type="dxa"/>
            <w:vAlign w:val="center"/>
          </w:tcPr>
          <w:p w14:paraId="219D5303" w14:textId="75C43A62"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41</w:t>
            </w:r>
          </w:p>
        </w:tc>
        <w:tc>
          <w:tcPr>
            <w:tcW w:w="9390" w:type="dxa"/>
          </w:tcPr>
          <w:p w14:paraId="2B866492" w14:textId="77777777" w:rsidR="00C405DA" w:rsidRPr="009344BF" w:rsidRDefault="00C405DA" w:rsidP="00622E81">
            <w:pPr>
              <w:spacing w:line="240" w:lineRule="auto"/>
              <w:rPr>
                <w:sz w:val="24"/>
                <w:szCs w:val="24"/>
                <w:lang w:val="uk-UA"/>
              </w:rPr>
            </w:pPr>
            <w:r w:rsidRPr="009344BF">
              <w:rPr>
                <w:sz w:val="24"/>
                <w:szCs w:val="24"/>
                <w:lang w:val="uk-UA"/>
              </w:rPr>
              <w:t xml:space="preserve">Взаємовідносини з ризиковими контрагентами </w:t>
            </w:r>
          </w:p>
        </w:tc>
      </w:tr>
      <w:tr w:rsidR="00C405DA" w:rsidRPr="009344BF" w14:paraId="37B13F5C" w14:textId="77777777" w:rsidTr="00DE65CC">
        <w:tc>
          <w:tcPr>
            <w:tcW w:w="817" w:type="dxa"/>
            <w:vAlign w:val="center"/>
          </w:tcPr>
          <w:p w14:paraId="1C2B7D28" w14:textId="27E79DE6"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42</w:t>
            </w:r>
          </w:p>
        </w:tc>
        <w:tc>
          <w:tcPr>
            <w:tcW w:w="9390" w:type="dxa"/>
          </w:tcPr>
          <w:p w14:paraId="4B6D35AE" w14:textId="77777777" w:rsidR="00C405DA" w:rsidRPr="009344BF" w:rsidRDefault="00C405DA" w:rsidP="00622E81">
            <w:pPr>
              <w:spacing w:line="240" w:lineRule="auto"/>
              <w:rPr>
                <w:sz w:val="24"/>
                <w:szCs w:val="24"/>
                <w:lang w:val="uk-UA"/>
              </w:rPr>
            </w:pPr>
            <w:r w:rsidRPr="009344BF">
              <w:rPr>
                <w:sz w:val="24"/>
                <w:szCs w:val="24"/>
                <w:lang w:val="uk-UA"/>
              </w:rPr>
              <w:t>Низька сума задекларованого до сплати податку внаслідок відображення податкових різниць, подання уточнюючих розрахунків, відображення операцій наприкінці звітного періоду</w:t>
            </w:r>
          </w:p>
        </w:tc>
      </w:tr>
      <w:tr w:rsidR="00C405DA" w:rsidRPr="009344BF" w14:paraId="6330A8B1" w14:textId="77777777" w:rsidTr="00DE65CC">
        <w:tc>
          <w:tcPr>
            <w:tcW w:w="817" w:type="dxa"/>
            <w:vAlign w:val="center"/>
          </w:tcPr>
          <w:p w14:paraId="25D87C86" w14:textId="74BFECC5"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43</w:t>
            </w:r>
          </w:p>
        </w:tc>
        <w:tc>
          <w:tcPr>
            <w:tcW w:w="9390" w:type="dxa"/>
          </w:tcPr>
          <w:p w14:paraId="7D2DDAD2" w14:textId="77777777" w:rsidR="00C405DA" w:rsidRPr="009344BF" w:rsidRDefault="00C405DA" w:rsidP="00622E81">
            <w:pPr>
              <w:spacing w:line="240" w:lineRule="auto"/>
              <w:rPr>
                <w:sz w:val="24"/>
                <w:szCs w:val="24"/>
                <w:lang w:val="uk-UA"/>
              </w:rPr>
            </w:pPr>
            <w:r w:rsidRPr="009344BF">
              <w:rPr>
                <w:sz w:val="24"/>
                <w:szCs w:val="24"/>
                <w:lang w:val="uk-UA"/>
              </w:rPr>
              <w:t>Низька рентабельність собівартості продукції</w:t>
            </w:r>
          </w:p>
        </w:tc>
      </w:tr>
      <w:tr w:rsidR="00C405DA" w:rsidRPr="009344BF" w14:paraId="584BE516" w14:textId="77777777" w:rsidTr="00DE65CC">
        <w:tc>
          <w:tcPr>
            <w:tcW w:w="817" w:type="dxa"/>
            <w:vAlign w:val="center"/>
          </w:tcPr>
          <w:p w14:paraId="5CC4789F" w14:textId="2F3D2B54"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44</w:t>
            </w:r>
          </w:p>
        </w:tc>
        <w:tc>
          <w:tcPr>
            <w:tcW w:w="9390" w:type="dxa"/>
          </w:tcPr>
          <w:p w14:paraId="7854624C" w14:textId="77777777" w:rsidR="00C405DA" w:rsidRPr="009344BF" w:rsidRDefault="00C405DA" w:rsidP="00622E81">
            <w:pPr>
              <w:spacing w:line="240" w:lineRule="auto"/>
              <w:rPr>
                <w:sz w:val="24"/>
                <w:szCs w:val="24"/>
                <w:lang w:val="uk-UA"/>
              </w:rPr>
            </w:pPr>
            <w:r w:rsidRPr="009344BF">
              <w:rPr>
                <w:sz w:val="24"/>
                <w:szCs w:val="24"/>
                <w:lang w:val="uk-UA"/>
              </w:rPr>
              <w:t xml:space="preserve">Непрозора система обліку і списання витрат на виробництво </w:t>
            </w:r>
          </w:p>
        </w:tc>
      </w:tr>
      <w:tr w:rsidR="00C405DA" w:rsidRPr="00BD6483" w14:paraId="0E4AB7A5" w14:textId="77777777" w:rsidTr="00DE65CC">
        <w:tc>
          <w:tcPr>
            <w:tcW w:w="817" w:type="dxa"/>
            <w:vAlign w:val="center"/>
          </w:tcPr>
          <w:p w14:paraId="72A050FC" w14:textId="0CCC9E1B"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45</w:t>
            </w:r>
          </w:p>
        </w:tc>
        <w:tc>
          <w:tcPr>
            <w:tcW w:w="9390" w:type="dxa"/>
          </w:tcPr>
          <w:p w14:paraId="0B4FC524" w14:textId="77777777" w:rsidR="00C405DA" w:rsidRPr="009344BF" w:rsidRDefault="00C405DA" w:rsidP="00622E81">
            <w:pPr>
              <w:spacing w:line="240" w:lineRule="auto"/>
              <w:rPr>
                <w:sz w:val="24"/>
                <w:szCs w:val="24"/>
                <w:lang w:val="uk-UA"/>
              </w:rPr>
            </w:pPr>
            <w:r w:rsidRPr="009344BF">
              <w:rPr>
                <w:sz w:val="24"/>
                <w:szCs w:val="24"/>
                <w:lang w:val="uk-UA"/>
              </w:rPr>
              <w:t>Середній розмір заробітної плати є нижчим ніж у відповідній галузі</w:t>
            </w:r>
          </w:p>
        </w:tc>
      </w:tr>
      <w:tr w:rsidR="00C405DA" w:rsidRPr="009344BF" w14:paraId="462E617E" w14:textId="77777777" w:rsidTr="00DE65CC">
        <w:tc>
          <w:tcPr>
            <w:tcW w:w="817" w:type="dxa"/>
            <w:vAlign w:val="center"/>
          </w:tcPr>
          <w:p w14:paraId="6373E5F1" w14:textId="6F1F6D4C"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46</w:t>
            </w:r>
          </w:p>
        </w:tc>
        <w:tc>
          <w:tcPr>
            <w:tcW w:w="9390" w:type="dxa"/>
          </w:tcPr>
          <w:p w14:paraId="704946CF" w14:textId="77777777" w:rsidR="00C405DA" w:rsidRPr="009344BF" w:rsidRDefault="00C405DA" w:rsidP="00622E81">
            <w:pPr>
              <w:spacing w:line="240" w:lineRule="auto"/>
              <w:rPr>
                <w:sz w:val="24"/>
                <w:szCs w:val="24"/>
                <w:lang w:val="uk-UA"/>
              </w:rPr>
            </w:pPr>
            <w:r w:rsidRPr="009344BF">
              <w:rPr>
                <w:sz w:val="24"/>
                <w:szCs w:val="24"/>
                <w:lang w:val="uk-UA"/>
              </w:rPr>
              <w:t>Значні обсяги реалізації товарів (робіт, послуг) за готівку</w:t>
            </w:r>
          </w:p>
        </w:tc>
      </w:tr>
      <w:tr w:rsidR="00C405DA" w:rsidRPr="009344BF" w14:paraId="5CE4144D" w14:textId="77777777" w:rsidTr="00DE65CC">
        <w:tc>
          <w:tcPr>
            <w:tcW w:w="817" w:type="dxa"/>
            <w:vAlign w:val="center"/>
          </w:tcPr>
          <w:p w14:paraId="7C5F06FF" w14:textId="5513C996"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47</w:t>
            </w:r>
          </w:p>
        </w:tc>
        <w:tc>
          <w:tcPr>
            <w:tcW w:w="9390" w:type="dxa"/>
          </w:tcPr>
          <w:p w14:paraId="649C57E0" w14:textId="77777777" w:rsidR="00C405DA" w:rsidRPr="009344BF" w:rsidRDefault="00C405DA" w:rsidP="00622E81">
            <w:pPr>
              <w:spacing w:line="240" w:lineRule="auto"/>
              <w:rPr>
                <w:sz w:val="24"/>
                <w:szCs w:val="24"/>
                <w:lang w:val="uk-UA"/>
              </w:rPr>
            </w:pPr>
            <w:r w:rsidRPr="009344BF">
              <w:rPr>
                <w:sz w:val="24"/>
                <w:szCs w:val="24"/>
                <w:lang w:val="uk-UA"/>
              </w:rPr>
              <w:t xml:space="preserve">Наявність серед засновників, керівного персоналу, контрагентів осіб, зареєстрованих на непідконтрольній Україні території. </w:t>
            </w:r>
          </w:p>
        </w:tc>
      </w:tr>
      <w:tr w:rsidR="00C405DA" w:rsidRPr="009344BF" w14:paraId="6ADC38CB" w14:textId="77777777" w:rsidTr="00DE65CC">
        <w:tc>
          <w:tcPr>
            <w:tcW w:w="817" w:type="dxa"/>
            <w:vAlign w:val="center"/>
          </w:tcPr>
          <w:p w14:paraId="34EBA557" w14:textId="14E77CF5"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48</w:t>
            </w:r>
          </w:p>
        </w:tc>
        <w:tc>
          <w:tcPr>
            <w:tcW w:w="9390" w:type="dxa"/>
          </w:tcPr>
          <w:p w14:paraId="4F32CC80" w14:textId="77777777" w:rsidR="00C405DA" w:rsidRPr="009344BF" w:rsidRDefault="00C405DA" w:rsidP="00622E81">
            <w:pPr>
              <w:spacing w:line="240" w:lineRule="auto"/>
              <w:rPr>
                <w:sz w:val="24"/>
                <w:szCs w:val="24"/>
                <w:lang w:val="uk-UA"/>
              </w:rPr>
            </w:pPr>
            <w:r w:rsidRPr="009344BF">
              <w:rPr>
                <w:sz w:val="24"/>
                <w:szCs w:val="24"/>
                <w:lang w:val="uk-UA"/>
              </w:rPr>
              <w:t xml:space="preserve">Операція призводить до значних податкових </w:t>
            </w:r>
            <w:proofErr w:type="spellStart"/>
            <w:r w:rsidRPr="009344BF">
              <w:rPr>
                <w:sz w:val="24"/>
                <w:szCs w:val="24"/>
                <w:lang w:val="uk-UA"/>
              </w:rPr>
              <w:t>вигод</w:t>
            </w:r>
            <w:proofErr w:type="spellEnd"/>
            <w:r w:rsidRPr="009344BF">
              <w:rPr>
                <w:sz w:val="24"/>
                <w:szCs w:val="24"/>
                <w:lang w:val="uk-UA"/>
              </w:rPr>
              <w:t xml:space="preserve"> чи відстрочення податкових платежів</w:t>
            </w:r>
          </w:p>
        </w:tc>
      </w:tr>
      <w:tr w:rsidR="00C405DA" w:rsidRPr="009344BF" w14:paraId="74F75086" w14:textId="77777777" w:rsidTr="00DE65CC">
        <w:tc>
          <w:tcPr>
            <w:tcW w:w="817" w:type="dxa"/>
            <w:vAlign w:val="center"/>
          </w:tcPr>
          <w:p w14:paraId="1D7BABF9" w14:textId="290C3C79"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49</w:t>
            </w:r>
          </w:p>
        </w:tc>
        <w:tc>
          <w:tcPr>
            <w:tcW w:w="9390" w:type="dxa"/>
          </w:tcPr>
          <w:p w14:paraId="2C813C69" w14:textId="77777777" w:rsidR="00C405DA" w:rsidRPr="009344BF" w:rsidRDefault="00C405DA" w:rsidP="00622E81">
            <w:pPr>
              <w:spacing w:line="240" w:lineRule="auto"/>
              <w:rPr>
                <w:sz w:val="24"/>
                <w:szCs w:val="24"/>
                <w:lang w:val="uk-UA"/>
              </w:rPr>
            </w:pPr>
            <w:r w:rsidRPr="009344BF">
              <w:rPr>
                <w:sz w:val="24"/>
                <w:szCs w:val="24"/>
                <w:lang w:val="uk-UA"/>
              </w:rPr>
              <w:t>Подання уточнюючих розрахунків на значні суми без збільшення сум податкових зобов’язань до сплати</w:t>
            </w:r>
          </w:p>
        </w:tc>
      </w:tr>
      <w:tr w:rsidR="00C405DA" w:rsidRPr="009344BF" w14:paraId="75D0E625" w14:textId="77777777" w:rsidTr="00DE65CC">
        <w:tc>
          <w:tcPr>
            <w:tcW w:w="817" w:type="dxa"/>
            <w:vAlign w:val="center"/>
          </w:tcPr>
          <w:p w14:paraId="4ED9105A" w14:textId="14AFB921"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50</w:t>
            </w:r>
          </w:p>
        </w:tc>
        <w:tc>
          <w:tcPr>
            <w:tcW w:w="9390" w:type="dxa"/>
          </w:tcPr>
          <w:p w14:paraId="78552748" w14:textId="77777777" w:rsidR="00C405DA" w:rsidRPr="009344BF" w:rsidRDefault="00C405DA" w:rsidP="00622E81">
            <w:pPr>
              <w:spacing w:line="240" w:lineRule="auto"/>
              <w:rPr>
                <w:sz w:val="24"/>
                <w:szCs w:val="24"/>
                <w:lang w:val="uk-UA"/>
              </w:rPr>
            </w:pPr>
            <w:r w:rsidRPr="009344BF">
              <w:rPr>
                <w:sz w:val="24"/>
                <w:szCs w:val="24"/>
                <w:lang w:val="uk-UA"/>
              </w:rPr>
              <w:t xml:space="preserve">Здійснення істотних авансових внесків постачальникам без оприбуткування товарів (робіт, послуг) у звітному періоді </w:t>
            </w:r>
          </w:p>
        </w:tc>
      </w:tr>
      <w:tr w:rsidR="00C405DA" w:rsidRPr="009344BF" w14:paraId="50452D1B" w14:textId="77777777" w:rsidTr="00DE65CC">
        <w:tc>
          <w:tcPr>
            <w:tcW w:w="817" w:type="dxa"/>
            <w:vAlign w:val="center"/>
          </w:tcPr>
          <w:p w14:paraId="6A1A1658" w14:textId="6D8F32B9"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51</w:t>
            </w:r>
          </w:p>
        </w:tc>
        <w:tc>
          <w:tcPr>
            <w:tcW w:w="9390" w:type="dxa"/>
          </w:tcPr>
          <w:p w14:paraId="05D82662" w14:textId="77777777" w:rsidR="00C405DA" w:rsidRPr="009344BF" w:rsidRDefault="00C405DA" w:rsidP="00622E81">
            <w:pPr>
              <w:spacing w:line="240" w:lineRule="auto"/>
              <w:rPr>
                <w:sz w:val="24"/>
                <w:szCs w:val="24"/>
                <w:lang w:val="uk-UA"/>
              </w:rPr>
            </w:pPr>
            <w:r w:rsidRPr="009344BF">
              <w:rPr>
                <w:sz w:val="24"/>
                <w:szCs w:val="24"/>
                <w:lang w:val="uk-UA"/>
              </w:rPr>
              <w:t>Значний обсяг задекларованих податкових пільг/преференцій</w:t>
            </w:r>
          </w:p>
        </w:tc>
      </w:tr>
      <w:tr w:rsidR="00C405DA" w:rsidRPr="009344BF" w14:paraId="2A8E363F" w14:textId="77777777" w:rsidTr="00DE65CC">
        <w:tc>
          <w:tcPr>
            <w:tcW w:w="817" w:type="dxa"/>
            <w:vAlign w:val="center"/>
          </w:tcPr>
          <w:p w14:paraId="08E044CC" w14:textId="0D743EF7"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52</w:t>
            </w:r>
          </w:p>
        </w:tc>
        <w:tc>
          <w:tcPr>
            <w:tcW w:w="9390" w:type="dxa"/>
          </w:tcPr>
          <w:p w14:paraId="1EBBED60" w14:textId="77777777" w:rsidR="00C405DA" w:rsidRPr="009344BF" w:rsidRDefault="00C405DA" w:rsidP="00622E81">
            <w:pPr>
              <w:spacing w:line="240" w:lineRule="auto"/>
              <w:rPr>
                <w:sz w:val="24"/>
                <w:szCs w:val="24"/>
                <w:lang w:val="uk-UA"/>
              </w:rPr>
            </w:pPr>
            <w:r w:rsidRPr="009344BF">
              <w:rPr>
                <w:sz w:val="24"/>
                <w:szCs w:val="24"/>
                <w:lang w:val="uk-UA"/>
              </w:rPr>
              <w:t xml:space="preserve">Операції на позабіржовому ринку цінних паперів </w:t>
            </w:r>
          </w:p>
        </w:tc>
      </w:tr>
      <w:tr w:rsidR="00C405DA" w:rsidRPr="009344BF" w14:paraId="2E8D4B04" w14:textId="77777777" w:rsidTr="00DE65CC">
        <w:tc>
          <w:tcPr>
            <w:tcW w:w="817" w:type="dxa"/>
            <w:vAlign w:val="center"/>
          </w:tcPr>
          <w:p w14:paraId="2CC3D578" w14:textId="01058FAE"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53</w:t>
            </w:r>
          </w:p>
        </w:tc>
        <w:tc>
          <w:tcPr>
            <w:tcW w:w="9390" w:type="dxa"/>
          </w:tcPr>
          <w:p w14:paraId="6FE13A7A" w14:textId="77777777" w:rsidR="00C405DA" w:rsidRPr="009344BF" w:rsidRDefault="00C405DA" w:rsidP="00622E81">
            <w:pPr>
              <w:spacing w:line="240" w:lineRule="auto"/>
              <w:rPr>
                <w:sz w:val="24"/>
                <w:szCs w:val="24"/>
                <w:lang w:val="uk-UA"/>
              </w:rPr>
            </w:pPr>
            <w:r w:rsidRPr="009344BF">
              <w:rPr>
                <w:sz w:val="24"/>
                <w:szCs w:val="24"/>
                <w:lang w:val="uk-UA"/>
              </w:rPr>
              <w:t>Розрахунки за векселями</w:t>
            </w:r>
          </w:p>
        </w:tc>
      </w:tr>
      <w:tr w:rsidR="00C405DA" w:rsidRPr="009344BF" w14:paraId="6765D664" w14:textId="77777777" w:rsidTr="00DE65CC">
        <w:tc>
          <w:tcPr>
            <w:tcW w:w="817" w:type="dxa"/>
            <w:vAlign w:val="center"/>
          </w:tcPr>
          <w:p w14:paraId="7D83931E" w14:textId="5329BFC1"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54</w:t>
            </w:r>
          </w:p>
        </w:tc>
        <w:tc>
          <w:tcPr>
            <w:tcW w:w="9390" w:type="dxa"/>
          </w:tcPr>
          <w:p w14:paraId="3BAFEEB8" w14:textId="77777777" w:rsidR="00C405DA" w:rsidRPr="009344BF" w:rsidRDefault="00C405DA" w:rsidP="00622E81">
            <w:pPr>
              <w:spacing w:line="240" w:lineRule="auto"/>
              <w:rPr>
                <w:sz w:val="24"/>
                <w:szCs w:val="24"/>
                <w:lang w:val="uk-UA"/>
              </w:rPr>
            </w:pPr>
            <w:proofErr w:type="spellStart"/>
            <w:r w:rsidRPr="009344BF">
              <w:rPr>
                <w:sz w:val="24"/>
                <w:szCs w:val="24"/>
              </w:rPr>
              <w:t>Наявність</w:t>
            </w:r>
            <w:proofErr w:type="spellEnd"/>
            <w:r w:rsidRPr="009344BF">
              <w:rPr>
                <w:sz w:val="24"/>
                <w:szCs w:val="24"/>
              </w:rPr>
              <w:t xml:space="preserve"> у </w:t>
            </w:r>
            <w:proofErr w:type="spellStart"/>
            <w:r w:rsidRPr="009344BF">
              <w:rPr>
                <w:sz w:val="24"/>
                <w:szCs w:val="24"/>
              </w:rPr>
              <w:t>платника</w:t>
            </w:r>
            <w:proofErr w:type="spellEnd"/>
            <w:r w:rsidRPr="009344BF">
              <w:rPr>
                <w:sz w:val="24"/>
                <w:szCs w:val="24"/>
              </w:rPr>
              <w:t xml:space="preserve"> </w:t>
            </w:r>
            <w:proofErr w:type="spellStart"/>
            <w:r w:rsidRPr="009344BF">
              <w:rPr>
                <w:sz w:val="24"/>
                <w:szCs w:val="24"/>
              </w:rPr>
              <w:t>філій</w:t>
            </w:r>
            <w:proofErr w:type="spellEnd"/>
            <w:r w:rsidRPr="009344BF">
              <w:rPr>
                <w:sz w:val="24"/>
                <w:szCs w:val="24"/>
              </w:rPr>
              <w:t xml:space="preserve">, </w:t>
            </w:r>
            <w:proofErr w:type="spellStart"/>
            <w:r w:rsidRPr="009344BF">
              <w:rPr>
                <w:sz w:val="24"/>
                <w:szCs w:val="24"/>
              </w:rPr>
              <w:t>відокремлених</w:t>
            </w:r>
            <w:proofErr w:type="spellEnd"/>
            <w:r w:rsidRPr="009344BF">
              <w:rPr>
                <w:sz w:val="24"/>
                <w:szCs w:val="24"/>
              </w:rPr>
              <w:t xml:space="preserve"> </w:t>
            </w:r>
            <w:proofErr w:type="spellStart"/>
            <w:proofErr w:type="gramStart"/>
            <w:r w:rsidRPr="009344BF">
              <w:rPr>
                <w:sz w:val="24"/>
                <w:szCs w:val="24"/>
              </w:rPr>
              <w:t>п</w:t>
            </w:r>
            <w:proofErr w:type="gramEnd"/>
            <w:r w:rsidRPr="009344BF">
              <w:rPr>
                <w:sz w:val="24"/>
                <w:szCs w:val="24"/>
              </w:rPr>
              <w:t>ідрозділів</w:t>
            </w:r>
            <w:proofErr w:type="spellEnd"/>
            <w:r w:rsidRPr="009344BF">
              <w:rPr>
                <w:sz w:val="24"/>
                <w:szCs w:val="24"/>
                <w:lang w:val="uk-UA"/>
              </w:rPr>
              <w:t>, підприємств, у яких платник податків є засновником</w:t>
            </w:r>
          </w:p>
        </w:tc>
      </w:tr>
      <w:tr w:rsidR="00C405DA" w:rsidRPr="009344BF" w14:paraId="619CFFC3" w14:textId="77777777" w:rsidTr="00DE65CC">
        <w:tc>
          <w:tcPr>
            <w:tcW w:w="817" w:type="dxa"/>
            <w:vAlign w:val="center"/>
          </w:tcPr>
          <w:p w14:paraId="48DEBA75" w14:textId="4ECFC2FF"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55</w:t>
            </w:r>
          </w:p>
        </w:tc>
        <w:tc>
          <w:tcPr>
            <w:tcW w:w="9390" w:type="dxa"/>
          </w:tcPr>
          <w:p w14:paraId="23A3E536" w14:textId="77777777" w:rsidR="00C405DA" w:rsidRPr="009344BF" w:rsidRDefault="00C405DA" w:rsidP="00622E81">
            <w:pPr>
              <w:spacing w:line="240" w:lineRule="auto"/>
              <w:rPr>
                <w:sz w:val="24"/>
                <w:szCs w:val="24"/>
                <w:lang w:val="uk-UA"/>
              </w:rPr>
            </w:pPr>
            <w:r w:rsidRPr="009344BF">
              <w:rPr>
                <w:sz w:val="24"/>
                <w:szCs w:val="24"/>
                <w:lang w:val="uk-UA"/>
              </w:rPr>
              <w:t>Здійснення операцій за непрямими договорами</w:t>
            </w:r>
          </w:p>
        </w:tc>
      </w:tr>
      <w:tr w:rsidR="00C405DA" w:rsidRPr="009344BF" w14:paraId="6C944201" w14:textId="77777777" w:rsidTr="00DE65CC">
        <w:tc>
          <w:tcPr>
            <w:tcW w:w="817" w:type="dxa"/>
            <w:vAlign w:val="center"/>
          </w:tcPr>
          <w:p w14:paraId="5F0CD00D" w14:textId="144DE602"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56</w:t>
            </w:r>
          </w:p>
        </w:tc>
        <w:tc>
          <w:tcPr>
            <w:tcW w:w="9390" w:type="dxa"/>
          </w:tcPr>
          <w:p w14:paraId="0996785D" w14:textId="77777777" w:rsidR="00C405DA" w:rsidRPr="009344BF" w:rsidRDefault="00C405DA" w:rsidP="00622E81">
            <w:pPr>
              <w:spacing w:line="240" w:lineRule="auto"/>
              <w:rPr>
                <w:sz w:val="24"/>
                <w:szCs w:val="24"/>
                <w:lang w:val="uk-UA"/>
              </w:rPr>
            </w:pPr>
            <w:r w:rsidRPr="009344BF">
              <w:rPr>
                <w:sz w:val="24"/>
                <w:szCs w:val="24"/>
                <w:lang w:val="uk-UA"/>
              </w:rPr>
              <w:t>Наявність безнадійної дебіторської / кредиторської заборгованості станом на початок і кінець звітного року</w:t>
            </w:r>
          </w:p>
        </w:tc>
      </w:tr>
      <w:tr w:rsidR="00C405DA" w:rsidRPr="009344BF" w14:paraId="686BEE28" w14:textId="77777777" w:rsidTr="00DE65CC">
        <w:tc>
          <w:tcPr>
            <w:tcW w:w="817" w:type="dxa"/>
            <w:vAlign w:val="center"/>
          </w:tcPr>
          <w:p w14:paraId="0EB4FF60" w14:textId="6EF28273"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57</w:t>
            </w:r>
          </w:p>
        </w:tc>
        <w:tc>
          <w:tcPr>
            <w:tcW w:w="9390" w:type="dxa"/>
          </w:tcPr>
          <w:p w14:paraId="50B5C5A3" w14:textId="77777777" w:rsidR="00C405DA" w:rsidRPr="009344BF" w:rsidRDefault="00C405DA" w:rsidP="00622E81">
            <w:pPr>
              <w:spacing w:line="240" w:lineRule="auto"/>
              <w:rPr>
                <w:sz w:val="24"/>
                <w:szCs w:val="24"/>
                <w:lang w:val="uk-UA"/>
              </w:rPr>
            </w:pPr>
            <w:r w:rsidRPr="009344BF">
              <w:rPr>
                <w:sz w:val="24"/>
                <w:szCs w:val="24"/>
                <w:lang w:val="uk-UA"/>
              </w:rPr>
              <w:t>Наявність судових справ, де позивачем / відповідачем є платник податків</w:t>
            </w:r>
          </w:p>
        </w:tc>
      </w:tr>
      <w:tr w:rsidR="00C405DA" w:rsidRPr="009344BF" w14:paraId="298DCFB1" w14:textId="77777777" w:rsidTr="00DE65CC">
        <w:tc>
          <w:tcPr>
            <w:tcW w:w="817" w:type="dxa"/>
            <w:vAlign w:val="center"/>
          </w:tcPr>
          <w:p w14:paraId="0F9C5C9C" w14:textId="167A2E1F" w:rsidR="00C405DA" w:rsidRPr="00BD6483" w:rsidRDefault="00BD6483" w:rsidP="00622E81">
            <w:pPr>
              <w:spacing w:line="240" w:lineRule="auto"/>
              <w:jc w:val="center"/>
              <w:rPr>
                <w:rFonts w:eastAsia="Times New Roman"/>
                <w:i/>
                <w:sz w:val="24"/>
                <w:szCs w:val="24"/>
                <w:lang w:val="en-US" w:eastAsia="ru-RU"/>
              </w:rPr>
            </w:pPr>
            <w:r>
              <w:rPr>
                <w:rFonts w:eastAsia="Times New Roman"/>
                <w:i/>
                <w:sz w:val="24"/>
                <w:szCs w:val="24"/>
                <w:lang w:val="en-US" w:eastAsia="ru-RU"/>
              </w:rPr>
              <w:t>58</w:t>
            </w:r>
          </w:p>
        </w:tc>
        <w:tc>
          <w:tcPr>
            <w:tcW w:w="9390" w:type="dxa"/>
          </w:tcPr>
          <w:p w14:paraId="7C998B9C" w14:textId="77777777" w:rsidR="00C405DA" w:rsidRPr="009344BF" w:rsidRDefault="00C405DA" w:rsidP="00622E81">
            <w:pPr>
              <w:spacing w:line="240" w:lineRule="auto"/>
              <w:rPr>
                <w:sz w:val="24"/>
                <w:szCs w:val="24"/>
                <w:lang w:val="uk-UA"/>
              </w:rPr>
            </w:pPr>
            <w:r w:rsidRPr="009344BF">
              <w:rPr>
                <w:sz w:val="24"/>
                <w:szCs w:val="24"/>
                <w:lang w:val="uk-UA"/>
              </w:rPr>
              <w:t>Наявність іншої податкової інформації, що свідчить про факти або ознаки порушень податкового законодавства</w:t>
            </w:r>
          </w:p>
        </w:tc>
      </w:tr>
    </w:tbl>
    <w:p w14:paraId="4065820E" w14:textId="77777777" w:rsidR="00DE65CC" w:rsidRDefault="00DE65CC" w:rsidP="00C405DA">
      <w:pPr>
        <w:jc w:val="center"/>
        <w:rPr>
          <w:szCs w:val="28"/>
        </w:rPr>
      </w:pPr>
    </w:p>
    <w:p w14:paraId="113B3B3D" w14:textId="77777777" w:rsidR="00C405DA" w:rsidRDefault="00C405DA" w:rsidP="00C405DA">
      <w:pPr>
        <w:jc w:val="center"/>
      </w:pPr>
      <w:r w:rsidRPr="00BC2B19">
        <w:rPr>
          <w:szCs w:val="28"/>
        </w:rPr>
        <w:t>____________________________</w:t>
      </w:r>
    </w:p>
    <w:p w14:paraId="285C5912" w14:textId="77777777" w:rsidR="00C405DA" w:rsidRPr="00C405DA" w:rsidRDefault="00C405DA">
      <w:pPr>
        <w:rPr>
          <w:lang w:val="uk-UA"/>
        </w:rPr>
      </w:pPr>
    </w:p>
    <w:sectPr w:rsidR="00C405DA" w:rsidRPr="00C405DA" w:rsidSect="0068158E">
      <w:headerReference w:type="default" r:id="rId9"/>
      <w:pgSz w:w="11906" w:h="16838"/>
      <w:pgMar w:top="426" w:right="850" w:bottom="284"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DCE3F" w14:textId="77777777" w:rsidR="00D942E0" w:rsidRDefault="00D942E0" w:rsidP="00C405DA">
      <w:pPr>
        <w:spacing w:line="240" w:lineRule="auto"/>
      </w:pPr>
      <w:r>
        <w:separator/>
      </w:r>
    </w:p>
  </w:endnote>
  <w:endnote w:type="continuationSeparator" w:id="0">
    <w:p w14:paraId="1F949CF8" w14:textId="77777777" w:rsidR="00D942E0" w:rsidRDefault="00D942E0" w:rsidP="00C40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1CD12" w14:textId="77777777" w:rsidR="00D942E0" w:rsidRDefault="00D942E0" w:rsidP="00C405DA">
      <w:pPr>
        <w:spacing w:line="240" w:lineRule="auto"/>
      </w:pPr>
      <w:r>
        <w:separator/>
      </w:r>
    </w:p>
  </w:footnote>
  <w:footnote w:type="continuationSeparator" w:id="0">
    <w:p w14:paraId="3ED806BD" w14:textId="77777777" w:rsidR="00D942E0" w:rsidRDefault="00D942E0" w:rsidP="00C405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51439"/>
      <w:docPartObj>
        <w:docPartGallery w:val="Page Numbers (Top of Page)"/>
        <w:docPartUnique/>
      </w:docPartObj>
    </w:sdtPr>
    <w:sdtEndPr/>
    <w:sdtContent>
      <w:p w14:paraId="49E2B7F8" w14:textId="77777777" w:rsidR="00C405DA" w:rsidRDefault="00C405DA">
        <w:pPr>
          <w:pStyle w:val="a5"/>
          <w:jc w:val="center"/>
          <w:rPr>
            <w:lang w:val="uk-UA"/>
          </w:rPr>
        </w:pPr>
        <w:r>
          <w:fldChar w:fldCharType="begin"/>
        </w:r>
        <w:r>
          <w:instrText>PAGE   \* MERGEFORMAT</w:instrText>
        </w:r>
        <w:r>
          <w:fldChar w:fldCharType="separate"/>
        </w:r>
        <w:r w:rsidR="0074495C" w:rsidRPr="0074495C">
          <w:rPr>
            <w:noProof/>
            <w:lang w:val="uk-UA"/>
          </w:rPr>
          <w:t>2</w:t>
        </w:r>
        <w:r>
          <w:fldChar w:fldCharType="end"/>
        </w:r>
        <w:r>
          <w:rPr>
            <w:lang w:val="uk-UA"/>
          </w:rPr>
          <w:t xml:space="preserve">                  </w:t>
        </w:r>
      </w:p>
      <w:p w14:paraId="19B886BA" w14:textId="04C742EB" w:rsidR="00C405DA" w:rsidRDefault="00C405DA">
        <w:pPr>
          <w:pStyle w:val="a5"/>
          <w:jc w:val="center"/>
        </w:pPr>
        <w:r>
          <w:rPr>
            <w:lang w:val="uk-UA"/>
          </w:rPr>
          <w:t xml:space="preserve">                                                                                         Продовження додатка </w:t>
        </w:r>
        <w:r w:rsidR="00655107">
          <w:rPr>
            <w:lang w:val="en-US"/>
          </w:rPr>
          <w:t>3</w:t>
        </w:r>
      </w:p>
    </w:sdtContent>
  </w:sdt>
  <w:p w14:paraId="57155B0C" w14:textId="77777777" w:rsidR="00DE65CC" w:rsidRDefault="00DE65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F13AA"/>
    <w:multiLevelType w:val="hybridMultilevel"/>
    <w:tmpl w:val="48844636"/>
    <w:lvl w:ilvl="0" w:tplc="EB04A2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19"/>
    <w:rsid w:val="00100EA2"/>
    <w:rsid w:val="002646DE"/>
    <w:rsid w:val="00421A62"/>
    <w:rsid w:val="0046038D"/>
    <w:rsid w:val="004A73A4"/>
    <w:rsid w:val="0061164A"/>
    <w:rsid w:val="00612E0C"/>
    <w:rsid w:val="00655107"/>
    <w:rsid w:val="0068158E"/>
    <w:rsid w:val="006B4380"/>
    <w:rsid w:val="0074495C"/>
    <w:rsid w:val="00784CB2"/>
    <w:rsid w:val="008A2241"/>
    <w:rsid w:val="008C1BD6"/>
    <w:rsid w:val="00906844"/>
    <w:rsid w:val="0092632E"/>
    <w:rsid w:val="00A4740E"/>
    <w:rsid w:val="00A83319"/>
    <w:rsid w:val="00B124CF"/>
    <w:rsid w:val="00BD6483"/>
    <w:rsid w:val="00C405DA"/>
    <w:rsid w:val="00CD7E5B"/>
    <w:rsid w:val="00D00371"/>
    <w:rsid w:val="00D0628F"/>
    <w:rsid w:val="00D21A66"/>
    <w:rsid w:val="00D942E0"/>
    <w:rsid w:val="00DE65CC"/>
    <w:rsid w:val="00E12E2D"/>
    <w:rsid w:val="00E41B33"/>
    <w:rsid w:val="00E4558B"/>
    <w:rsid w:val="00E51FD1"/>
    <w:rsid w:val="00EB2AEC"/>
    <w:rsid w:val="00FB4A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DA"/>
    <w:pPr>
      <w:spacing w:after="0" w:line="360" w:lineRule="auto"/>
      <w:jc w:val="both"/>
    </w:pPr>
    <w:rPr>
      <w:rFonts w:ascii="Times New Roman" w:eastAsia="Calibri" w:hAnsi="Times New Roman" w:cs="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405DA"/>
    <w:pPr>
      <w:spacing w:before="100" w:beforeAutospacing="1" w:after="100" w:afterAutospacing="1" w:line="240" w:lineRule="auto"/>
      <w:jc w:val="left"/>
    </w:pPr>
    <w:rPr>
      <w:rFonts w:eastAsia="Times New Roman"/>
      <w:sz w:val="24"/>
      <w:szCs w:val="24"/>
      <w:lang w:eastAsia="ru-RU"/>
    </w:rPr>
  </w:style>
  <w:style w:type="character" w:styleId="a4">
    <w:name w:val="Hyperlink"/>
    <w:uiPriority w:val="99"/>
    <w:unhideWhenUsed/>
    <w:rsid w:val="00C405DA"/>
    <w:rPr>
      <w:color w:val="0000FF"/>
      <w:u w:val="single"/>
    </w:rPr>
  </w:style>
  <w:style w:type="paragraph" w:styleId="a5">
    <w:name w:val="header"/>
    <w:basedOn w:val="a"/>
    <w:link w:val="a6"/>
    <w:uiPriority w:val="99"/>
    <w:unhideWhenUsed/>
    <w:rsid w:val="00C405DA"/>
    <w:pPr>
      <w:tabs>
        <w:tab w:val="center" w:pos="4819"/>
        <w:tab w:val="right" w:pos="9639"/>
      </w:tabs>
      <w:spacing w:line="240" w:lineRule="auto"/>
    </w:pPr>
  </w:style>
  <w:style w:type="character" w:customStyle="1" w:styleId="a6">
    <w:name w:val="Верхній колонтитул Знак"/>
    <w:basedOn w:val="a0"/>
    <w:link w:val="a5"/>
    <w:uiPriority w:val="99"/>
    <w:rsid w:val="00C405DA"/>
    <w:rPr>
      <w:rFonts w:ascii="Times New Roman" w:eastAsia="Calibri" w:hAnsi="Times New Roman" w:cs="Times New Roman"/>
      <w:sz w:val="28"/>
      <w:lang w:val="ru-RU"/>
    </w:rPr>
  </w:style>
  <w:style w:type="paragraph" w:styleId="a7">
    <w:name w:val="footer"/>
    <w:basedOn w:val="a"/>
    <w:link w:val="a8"/>
    <w:uiPriority w:val="99"/>
    <w:unhideWhenUsed/>
    <w:rsid w:val="00C405DA"/>
    <w:pPr>
      <w:tabs>
        <w:tab w:val="center" w:pos="4819"/>
        <w:tab w:val="right" w:pos="9639"/>
      </w:tabs>
      <w:spacing w:line="240" w:lineRule="auto"/>
    </w:pPr>
  </w:style>
  <w:style w:type="character" w:customStyle="1" w:styleId="a8">
    <w:name w:val="Нижній колонтитул Знак"/>
    <w:basedOn w:val="a0"/>
    <w:link w:val="a7"/>
    <w:uiPriority w:val="99"/>
    <w:rsid w:val="00C405DA"/>
    <w:rPr>
      <w:rFonts w:ascii="Times New Roman" w:eastAsia="Calibri" w:hAnsi="Times New Roman" w:cs="Times New Roman"/>
      <w:sz w:val="28"/>
      <w:lang w:val="ru-RU"/>
    </w:rPr>
  </w:style>
  <w:style w:type="paragraph" w:styleId="a9">
    <w:name w:val="Balloon Text"/>
    <w:basedOn w:val="a"/>
    <w:link w:val="aa"/>
    <w:uiPriority w:val="99"/>
    <w:semiHidden/>
    <w:unhideWhenUsed/>
    <w:rsid w:val="004A73A4"/>
    <w:pPr>
      <w:spacing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4A73A4"/>
    <w:rPr>
      <w:rFonts w:ascii="Segoe UI" w:eastAsia="Calibr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5DA"/>
    <w:pPr>
      <w:spacing w:after="0" w:line="360" w:lineRule="auto"/>
      <w:jc w:val="both"/>
    </w:pPr>
    <w:rPr>
      <w:rFonts w:ascii="Times New Roman" w:eastAsia="Calibri" w:hAnsi="Times New Roman" w:cs="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405DA"/>
    <w:pPr>
      <w:spacing w:before="100" w:beforeAutospacing="1" w:after="100" w:afterAutospacing="1" w:line="240" w:lineRule="auto"/>
      <w:jc w:val="left"/>
    </w:pPr>
    <w:rPr>
      <w:rFonts w:eastAsia="Times New Roman"/>
      <w:sz w:val="24"/>
      <w:szCs w:val="24"/>
      <w:lang w:eastAsia="ru-RU"/>
    </w:rPr>
  </w:style>
  <w:style w:type="character" w:styleId="a4">
    <w:name w:val="Hyperlink"/>
    <w:uiPriority w:val="99"/>
    <w:unhideWhenUsed/>
    <w:rsid w:val="00C405DA"/>
    <w:rPr>
      <w:color w:val="0000FF"/>
      <w:u w:val="single"/>
    </w:rPr>
  </w:style>
  <w:style w:type="paragraph" w:styleId="a5">
    <w:name w:val="header"/>
    <w:basedOn w:val="a"/>
    <w:link w:val="a6"/>
    <w:uiPriority w:val="99"/>
    <w:unhideWhenUsed/>
    <w:rsid w:val="00C405DA"/>
    <w:pPr>
      <w:tabs>
        <w:tab w:val="center" w:pos="4819"/>
        <w:tab w:val="right" w:pos="9639"/>
      </w:tabs>
      <w:spacing w:line="240" w:lineRule="auto"/>
    </w:pPr>
  </w:style>
  <w:style w:type="character" w:customStyle="1" w:styleId="a6">
    <w:name w:val="Верхній колонтитул Знак"/>
    <w:basedOn w:val="a0"/>
    <w:link w:val="a5"/>
    <w:uiPriority w:val="99"/>
    <w:rsid w:val="00C405DA"/>
    <w:rPr>
      <w:rFonts w:ascii="Times New Roman" w:eastAsia="Calibri" w:hAnsi="Times New Roman" w:cs="Times New Roman"/>
      <w:sz w:val="28"/>
      <w:lang w:val="ru-RU"/>
    </w:rPr>
  </w:style>
  <w:style w:type="paragraph" w:styleId="a7">
    <w:name w:val="footer"/>
    <w:basedOn w:val="a"/>
    <w:link w:val="a8"/>
    <w:uiPriority w:val="99"/>
    <w:unhideWhenUsed/>
    <w:rsid w:val="00C405DA"/>
    <w:pPr>
      <w:tabs>
        <w:tab w:val="center" w:pos="4819"/>
        <w:tab w:val="right" w:pos="9639"/>
      </w:tabs>
      <w:spacing w:line="240" w:lineRule="auto"/>
    </w:pPr>
  </w:style>
  <w:style w:type="character" w:customStyle="1" w:styleId="a8">
    <w:name w:val="Нижній колонтитул Знак"/>
    <w:basedOn w:val="a0"/>
    <w:link w:val="a7"/>
    <w:uiPriority w:val="99"/>
    <w:rsid w:val="00C405DA"/>
    <w:rPr>
      <w:rFonts w:ascii="Times New Roman" w:eastAsia="Calibri" w:hAnsi="Times New Roman" w:cs="Times New Roman"/>
      <w:sz w:val="28"/>
      <w:lang w:val="ru-RU"/>
    </w:rPr>
  </w:style>
  <w:style w:type="paragraph" w:styleId="a9">
    <w:name w:val="Balloon Text"/>
    <w:basedOn w:val="a"/>
    <w:link w:val="aa"/>
    <w:uiPriority w:val="99"/>
    <w:semiHidden/>
    <w:unhideWhenUsed/>
    <w:rsid w:val="004A73A4"/>
    <w:pPr>
      <w:spacing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4A73A4"/>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11-1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6288</Words>
  <Characters>3585</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СІРОШ ОЛЕКСАНДР АНАТОЛІЙОВИЧ</dc:creator>
  <cp:keywords/>
  <dc:description/>
  <cp:lastModifiedBy>СІРОШ ОЛЕКСАНДР АНАТОЛІЙОВИЧ</cp:lastModifiedBy>
  <cp:revision>22</cp:revision>
  <cp:lastPrinted>2023-04-28T07:12:00Z</cp:lastPrinted>
  <dcterms:created xsi:type="dcterms:W3CDTF">2023-04-20T12:39:00Z</dcterms:created>
  <dcterms:modified xsi:type="dcterms:W3CDTF">2023-06-01T13:40:00Z</dcterms:modified>
</cp:coreProperties>
</file>