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CCAA0" w14:textId="7FBC9DB4" w:rsidR="00D1133C" w:rsidRPr="00E862EA" w:rsidRDefault="00D1133C" w:rsidP="00D1133C">
      <w:pPr>
        <w:widowControl w:val="0"/>
        <w:spacing w:line="240" w:lineRule="auto"/>
        <w:ind w:left="5103"/>
        <w:contextualSpacing/>
        <w:jc w:val="left"/>
        <w:rPr>
          <w:rFonts w:eastAsia="Courier New"/>
          <w:color w:val="000000"/>
          <w:szCs w:val="28"/>
          <w:lang w:val="uk-UA" w:eastAsia="uk-UA"/>
        </w:rPr>
      </w:pPr>
      <w:r>
        <w:rPr>
          <w:rFonts w:eastAsia="Courier New"/>
          <w:color w:val="000000"/>
          <w:szCs w:val="28"/>
          <w:shd w:val="clear" w:color="auto" w:fill="FFFFFF"/>
          <w:lang w:val="uk-UA" w:eastAsia="uk-UA"/>
        </w:rPr>
        <w:t>Додаток</w:t>
      </w:r>
      <w:r w:rsidR="009B7B83" w:rsidRPr="009B7B83">
        <w:rPr>
          <w:rFonts w:eastAsia="Courier New"/>
          <w:color w:val="000000"/>
          <w:szCs w:val="28"/>
          <w:shd w:val="clear" w:color="auto" w:fill="FFFFFF"/>
          <w:lang w:eastAsia="uk-UA"/>
        </w:rPr>
        <w:t xml:space="preserve"> 2</w:t>
      </w:r>
      <w:r>
        <w:rPr>
          <w:rFonts w:eastAsia="Courier New"/>
          <w:color w:val="000000"/>
          <w:szCs w:val="28"/>
          <w:shd w:val="clear" w:color="auto" w:fill="FFFFFF"/>
          <w:lang w:val="uk-UA" w:eastAsia="uk-UA"/>
        </w:rPr>
        <w:br/>
      </w:r>
      <w:r>
        <w:rPr>
          <w:rFonts w:eastAsia="Courier New"/>
          <w:color w:val="000000"/>
          <w:szCs w:val="28"/>
          <w:lang w:val="uk-UA" w:eastAsia="uk-UA"/>
        </w:rPr>
        <w:t xml:space="preserve">до </w:t>
      </w:r>
      <w:r w:rsidR="00BD1291">
        <w:rPr>
          <w:rFonts w:eastAsia="Courier New"/>
          <w:color w:val="000000"/>
          <w:szCs w:val="28"/>
          <w:lang w:val="uk-UA" w:eastAsia="uk-UA"/>
        </w:rPr>
        <w:t>Методики</w:t>
      </w:r>
      <w:r w:rsidR="004A5A4D" w:rsidRPr="00302367">
        <w:rPr>
          <w:rFonts w:eastAsia="Courier New"/>
          <w:color w:val="000000"/>
          <w:szCs w:val="28"/>
          <w:lang w:eastAsia="uk-UA"/>
        </w:rPr>
        <w:t xml:space="preserve"> </w:t>
      </w:r>
      <w:r>
        <w:rPr>
          <w:rFonts w:eastAsia="Courier New"/>
          <w:color w:val="000000"/>
          <w:szCs w:val="28"/>
          <w:lang w:val="uk-UA" w:eastAsia="uk-UA"/>
        </w:rPr>
        <w:t xml:space="preserve">проведення перевірки загальних положень податкового та іншого законодавства України, контроль за дотриманням якого </w:t>
      </w:r>
      <w:r w:rsidRPr="00E862EA">
        <w:rPr>
          <w:rFonts w:eastAsia="Courier New"/>
          <w:color w:val="000000"/>
          <w:szCs w:val="28"/>
          <w:lang w:val="uk-UA" w:eastAsia="uk-UA"/>
        </w:rPr>
        <w:t xml:space="preserve">покладено на податкові органи </w:t>
      </w:r>
    </w:p>
    <w:p w14:paraId="4396234F" w14:textId="1F0BE379" w:rsidR="00D1133C" w:rsidRDefault="00D1133C" w:rsidP="00D1133C">
      <w:pPr>
        <w:widowControl w:val="0"/>
        <w:spacing w:line="240" w:lineRule="auto"/>
        <w:ind w:left="5103"/>
        <w:contextualSpacing/>
        <w:jc w:val="left"/>
        <w:rPr>
          <w:rFonts w:eastAsia="Courier New"/>
          <w:color w:val="000000"/>
          <w:szCs w:val="28"/>
          <w:lang w:val="uk-UA" w:eastAsia="uk-UA"/>
        </w:rPr>
      </w:pPr>
      <w:r w:rsidRPr="00E862EA">
        <w:rPr>
          <w:rFonts w:eastAsia="Courier New"/>
          <w:color w:val="000000"/>
          <w:szCs w:val="28"/>
          <w:lang w:val="uk-UA" w:eastAsia="uk-UA"/>
        </w:rPr>
        <w:t>(</w:t>
      </w:r>
      <w:r w:rsidR="00597F0D">
        <w:rPr>
          <w:rFonts w:eastAsia="Courier New"/>
          <w:color w:val="000000"/>
          <w:szCs w:val="28"/>
          <w:lang w:val="uk-UA" w:eastAsia="uk-UA"/>
        </w:rPr>
        <w:t>абз</w:t>
      </w:r>
      <w:r w:rsidR="00EA7B6A">
        <w:rPr>
          <w:rFonts w:eastAsia="Courier New"/>
          <w:color w:val="000000"/>
          <w:szCs w:val="28"/>
          <w:lang w:val="uk-UA" w:eastAsia="uk-UA"/>
        </w:rPr>
        <w:t>ац</w:t>
      </w:r>
      <w:r w:rsidR="00597F0D">
        <w:rPr>
          <w:rFonts w:eastAsia="Courier New"/>
          <w:color w:val="000000"/>
          <w:szCs w:val="28"/>
          <w:lang w:val="uk-UA" w:eastAsia="uk-UA"/>
        </w:rPr>
        <w:t xml:space="preserve"> </w:t>
      </w:r>
      <w:r w:rsidR="009B7B83">
        <w:rPr>
          <w:rFonts w:eastAsia="Courier New"/>
          <w:color w:val="000000"/>
          <w:szCs w:val="28"/>
          <w:lang w:val="uk-UA" w:eastAsia="uk-UA"/>
        </w:rPr>
        <w:t>дев’ятнадцятий</w:t>
      </w:r>
      <w:r w:rsidR="00597F0D">
        <w:rPr>
          <w:rFonts w:eastAsia="Courier New"/>
          <w:color w:val="000000"/>
          <w:szCs w:val="28"/>
          <w:lang w:val="uk-UA" w:eastAsia="uk-UA"/>
        </w:rPr>
        <w:t xml:space="preserve"> </w:t>
      </w:r>
      <w:r w:rsidR="00D427BB" w:rsidRPr="006B0105">
        <w:rPr>
          <w:rFonts w:eastAsia="Courier New"/>
          <w:color w:val="000000"/>
          <w:szCs w:val="28"/>
          <w:lang w:val="uk-UA" w:eastAsia="uk-UA"/>
        </w:rPr>
        <w:t>пункт</w:t>
      </w:r>
      <w:r w:rsidR="00597F0D">
        <w:rPr>
          <w:rFonts w:eastAsia="Courier New"/>
          <w:color w:val="000000"/>
          <w:szCs w:val="28"/>
          <w:lang w:val="uk-UA" w:eastAsia="uk-UA"/>
        </w:rPr>
        <w:t>у</w:t>
      </w:r>
      <w:r w:rsidR="00D427BB" w:rsidRPr="006B0105">
        <w:rPr>
          <w:rFonts w:eastAsia="Courier New"/>
          <w:color w:val="000000"/>
          <w:szCs w:val="28"/>
          <w:lang w:val="uk-UA" w:eastAsia="uk-UA"/>
        </w:rPr>
        <w:t xml:space="preserve"> </w:t>
      </w:r>
      <w:r w:rsidR="00D427BB">
        <w:rPr>
          <w:rFonts w:eastAsia="Courier New"/>
          <w:color w:val="000000"/>
          <w:szCs w:val="28"/>
          <w:lang w:val="uk-UA" w:eastAsia="uk-UA"/>
        </w:rPr>
        <w:t>4.3</w:t>
      </w:r>
      <w:r w:rsidR="00D427BB" w:rsidRPr="006B0105">
        <w:rPr>
          <w:rFonts w:eastAsia="Courier New"/>
          <w:color w:val="000000"/>
          <w:szCs w:val="28"/>
          <w:lang w:val="uk-UA" w:eastAsia="uk-UA"/>
        </w:rPr>
        <w:t xml:space="preserve"> </w:t>
      </w:r>
      <w:bookmarkStart w:id="0" w:name="_GoBack"/>
      <w:bookmarkEnd w:id="0"/>
      <w:r w:rsidR="00D427BB" w:rsidRPr="006B0105">
        <w:rPr>
          <w:rFonts w:eastAsia="Courier New"/>
          <w:color w:val="000000"/>
          <w:szCs w:val="28"/>
          <w:lang w:val="uk-UA" w:eastAsia="uk-UA"/>
        </w:rPr>
        <w:t xml:space="preserve">розділу </w:t>
      </w:r>
      <w:r w:rsidR="00D427BB" w:rsidRPr="00FF7C81">
        <w:rPr>
          <w:rFonts w:eastAsia="Times New Roman"/>
          <w:szCs w:val="28"/>
          <w:lang w:val="en-US" w:eastAsia="ru-RU"/>
        </w:rPr>
        <w:t>IV</w:t>
      </w:r>
      <w:r w:rsidRPr="00E862EA">
        <w:rPr>
          <w:rFonts w:eastAsia="Courier New"/>
          <w:color w:val="000000"/>
          <w:szCs w:val="28"/>
          <w:lang w:val="uk-UA" w:eastAsia="uk-UA"/>
        </w:rPr>
        <w:t>)</w:t>
      </w:r>
    </w:p>
    <w:p w14:paraId="71D5569A" w14:textId="77777777" w:rsidR="00C52C0F" w:rsidRDefault="009B7B83">
      <w:pPr>
        <w:rPr>
          <w:lang w:val="uk-UA"/>
        </w:rPr>
      </w:pPr>
    </w:p>
    <w:tbl>
      <w:tblPr>
        <w:tblW w:w="10410" w:type="dxa"/>
        <w:tblInd w:w="-645" w:type="dxa"/>
        <w:tblBorders>
          <w:top w:val="nil"/>
          <w:left w:val="nil"/>
          <w:bottom w:val="nil"/>
          <w:right w:val="nil"/>
          <w:insideH w:val="nil"/>
          <w:insideV w:val="nil"/>
        </w:tblBorders>
        <w:tblLayout w:type="fixed"/>
        <w:tblLook w:val="0600" w:firstRow="0" w:lastRow="0" w:firstColumn="0" w:lastColumn="0" w:noHBand="1" w:noVBand="1"/>
      </w:tblPr>
      <w:tblGrid>
        <w:gridCol w:w="3105"/>
        <w:gridCol w:w="7305"/>
      </w:tblGrid>
      <w:tr w:rsidR="00617BB2" w:rsidRPr="009B7B83" w14:paraId="2D9B4379" w14:textId="77777777" w:rsidTr="00622E81">
        <w:trPr>
          <w:trHeight w:val="935"/>
        </w:trPr>
        <w:tc>
          <w:tcPr>
            <w:tcW w:w="10410" w:type="dxa"/>
            <w:gridSpan w:val="2"/>
            <w:tcBorders>
              <w:top w:val="nil"/>
              <w:left w:val="nil"/>
              <w:bottom w:val="nil"/>
              <w:right w:val="nil"/>
            </w:tcBorders>
            <w:tcMar>
              <w:top w:w="100" w:type="dxa"/>
              <w:left w:w="100" w:type="dxa"/>
              <w:bottom w:w="100" w:type="dxa"/>
              <w:right w:w="100" w:type="dxa"/>
            </w:tcMar>
          </w:tcPr>
          <w:p w14:paraId="20684809" w14:textId="77777777" w:rsidR="00617BB2" w:rsidRPr="004C3710" w:rsidRDefault="00617BB2" w:rsidP="00EA7B6A">
            <w:pPr>
              <w:pStyle w:val="2"/>
              <w:spacing w:before="0" w:line="240" w:lineRule="auto"/>
              <w:ind w:left="100"/>
              <w:jc w:val="center"/>
              <w:rPr>
                <w:rFonts w:ascii="Times New Roman" w:hAnsi="Times New Roman" w:cs="Times New Roman"/>
                <w:b w:val="0"/>
                <w:color w:val="auto"/>
                <w:sz w:val="28"/>
                <w:lang w:val="uk-UA"/>
              </w:rPr>
            </w:pPr>
            <w:r w:rsidRPr="004C3710">
              <w:rPr>
                <w:rFonts w:ascii="Times New Roman" w:hAnsi="Times New Roman" w:cs="Times New Roman"/>
                <w:b w:val="0"/>
                <w:color w:val="auto"/>
                <w:sz w:val="28"/>
                <w:lang w:val="uk-UA"/>
              </w:rPr>
              <w:t xml:space="preserve">Орієнтовний перелік інформаційних ресурсів, </w:t>
            </w:r>
          </w:p>
          <w:p w14:paraId="5BA03EEF" w14:textId="77777777" w:rsidR="00617BB2" w:rsidRPr="00617BB2" w:rsidRDefault="00617BB2" w:rsidP="006A4EEA">
            <w:pPr>
              <w:pStyle w:val="2"/>
              <w:spacing w:before="0" w:line="240" w:lineRule="auto"/>
              <w:ind w:left="100"/>
              <w:jc w:val="center"/>
              <w:rPr>
                <w:rFonts w:ascii="Times New Roman" w:hAnsi="Times New Roman" w:cs="Times New Roman"/>
                <w:color w:val="auto"/>
                <w:sz w:val="24"/>
                <w:lang w:val="uk-UA"/>
              </w:rPr>
            </w:pPr>
            <w:r w:rsidRPr="004C3710">
              <w:rPr>
                <w:rFonts w:ascii="Times New Roman" w:hAnsi="Times New Roman" w:cs="Times New Roman"/>
                <w:b w:val="0"/>
                <w:color w:val="auto"/>
                <w:sz w:val="28"/>
                <w:lang w:val="uk-UA"/>
              </w:rPr>
              <w:t>що отримує</w:t>
            </w:r>
            <w:r w:rsidR="00302367" w:rsidRPr="004C3710">
              <w:rPr>
                <w:rFonts w:ascii="Times New Roman" w:hAnsi="Times New Roman" w:cs="Times New Roman"/>
                <w:b w:val="0"/>
                <w:color w:val="auto"/>
                <w:sz w:val="28"/>
                <w:lang w:val="uk-UA"/>
              </w:rPr>
              <w:t>ться</w:t>
            </w:r>
            <w:r w:rsidRPr="004C3710">
              <w:rPr>
                <w:rFonts w:ascii="Times New Roman" w:hAnsi="Times New Roman" w:cs="Times New Roman"/>
                <w:b w:val="0"/>
                <w:color w:val="auto"/>
                <w:sz w:val="28"/>
                <w:lang w:val="uk-UA"/>
              </w:rPr>
              <w:t xml:space="preserve"> ДПС в порядку інформаційної взаємодії</w:t>
            </w:r>
          </w:p>
        </w:tc>
      </w:tr>
      <w:tr w:rsidR="00617BB2" w:rsidRPr="009B7B83" w14:paraId="482AA1D1" w14:textId="77777777" w:rsidTr="00EA7B6A">
        <w:trPr>
          <w:trHeight w:val="395"/>
        </w:trPr>
        <w:tc>
          <w:tcPr>
            <w:tcW w:w="3105"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8783AF8" w14:textId="77777777" w:rsidR="00617BB2" w:rsidRPr="00617BB2" w:rsidRDefault="00617BB2" w:rsidP="00EA7B6A">
            <w:pPr>
              <w:spacing w:line="240" w:lineRule="auto"/>
              <w:ind w:left="100"/>
              <w:jc w:val="center"/>
              <w:rPr>
                <w:b/>
                <w:sz w:val="24"/>
                <w:szCs w:val="26"/>
                <w:lang w:val="uk-UA"/>
              </w:rPr>
            </w:pPr>
            <w:r w:rsidRPr="00617BB2">
              <w:rPr>
                <w:b/>
                <w:sz w:val="24"/>
                <w:szCs w:val="26"/>
                <w:lang w:val="uk-UA"/>
              </w:rPr>
              <w:t>Найменування суб’єкта інформаційних відносин</w:t>
            </w:r>
          </w:p>
        </w:tc>
        <w:tc>
          <w:tcPr>
            <w:tcW w:w="7305"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777B16E7" w14:textId="77777777" w:rsidR="00617BB2" w:rsidRPr="00617BB2" w:rsidRDefault="00617BB2" w:rsidP="00EA7B6A">
            <w:pPr>
              <w:spacing w:line="240" w:lineRule="auto"/>
              <w:ind w:left="100"/>
              <w:jc w:val="center"/>
              <w:rPr>
                <w:b/>
                <w:sz w:val="24"/>
                <w:szCs w:val="26"/>
                <w:lang w:val="uk-UA"/>
              </w:rPr>
            </w:pPr>
            <w:r w:rsidRPr="00617BB2">
              <w:rPr>
                <w:b/>
                <w:sz w:val="24"/>
                <w:szCs w:val="26"/>
                <w:lang w:val="uk-UA"/>
              </w:rPr>
              <w:t>Перелік інформації, що отримується від суб’єктів інформаційних відносин</w:t>
            </w:r>
          </w:p>
        </w:tc>
      </w:tr>
      <w:tr w:rsidR="00617BB2" w:rsidRPr="009B7B83" w14:paraId="1375B982" w14:textId="77777777" w:rsidTr="00622E81">
        <w:trPr>
          <w:trHeight w:val="755"/>
        </w:trPr>
        <w:tc>
          <w:tcPr>
            <w:tcW w:w="310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68E992E" w14:textId="77777777" w:rsidR="00617BB2" w:rsidRPr="00617BB2" w:rsidRDefault="00617BB2" w:rsidP="00EA7B6A">
            <w:pPr>
              <w:spacing w:line="240" w:lineRule="auto"/>
              <w:ind w:left="100"/>
              <w:jc w:val="center"/>
              <w:rPr>
                <w:sz w:val="24"/>
                <w:szCs w:val="26"/>
                <w:lang w:val="uk-UA"/>
              </w:rPr>
            </w:pPr>
            <w:r w:rsidRPr="00617BB2">
              <w:rPr>
                <w:sz w:val="24"/>
                <w:szCs w:val="26"/>
                <w:lang w:val="uk-UA"/>
              </w:rPr>
              <w:t>МВС</w:t>
            </w:r>
          </w:p>
        </w:tc>
        <w:tc>
          <w:tcPr>
            <w:tcW w:w="730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479753C6" w14:textId="77777777" w:rsidR="00617BB2" w:rsidRPr="00617BB2" w:rsidRDefault="00617BB2" w:rsidP="00EA7B6A">
            <w:pPr>
              <w:spacing w:line="240" w:lineRule="auto"/>
              <w:ind w:left="100"/>
              <w:rPr>
                <w:sz w:val="24"/>
                <w:szCs w:val="26"/>
                <w:lang w:val="uk-UA"/>
              </w:rPr>
            </w:pPr>
            <w:r w:rsidRPr="00617BB2">
              <w:rPr>
                <w:sz w:val="24"/>
                <w:szCs w:val="26"/>
                <w:lang w:val="uk-UA"/>
              </w:rPr>
              <w:t>про власників та/або користувачів рухомого майна, крім транспортних засобів та інших активів, які є об’єктом оподаткування,</w:t>
            </w:r>
            <w:r w:rsidR="00EA7B6A">
              <w:rPr>
                <w:sz w:val="24"/>
                <w:szCs w:val="26"/>
                <w:lang w:val="uk-UA"/>
              </w:rPr>
              <w:t xml:space="preserve"> </w:t>
            </w:r>
            <w:r w:rsidRPr="00617BB2">
              <w:rPr>
                <w:sz w:val="24"/>
                <w:szCs w:val="26"/>
                <w:lang w:val="uk-UA"/>
              </w:rPr>
              <w:t>про зареєстровані (зняті з обліку) колісні транспортні засоби та їх власників</w:t>
            </w:r>
          </w:p>
        </w:tc>
      </w:tr>
      <w:tr w:rsidR="00617BB2" w:rsidRPr="009B7B83" w14:paraId="797FC5EA" w14:textId="77777777" w:rsidTr="00622E81">
        <w:trPr>
          <w:trHeight w:val="755"/>
        </w:trPr>
        <w:tc>
          <w:tcPr>
            <w:tcW w:w="310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65A7D41" w14:textId="77777777" w:rsidR="00617BB2" w:rsidRPr="00617BB2" w:rsidRDefault="00617BB2" w:rsidP="00EA7B6A">
            <w:pPr>
              <w:spacing w:line="240" w:lineRule="auto"/>
              <w:ind w:left="100"/>
              <w:jc w:val="center"/>
              <w:rPr>
                <w:sz w:val="24"/>
                <w:szCs w:val="26"/>
                <w:lang w:val="uk-UA"/>
              </w:rPr>
            </w:pPr>
            <w:r w:rsidRPr="00617BB2">
              <w:rPr>
                <w:sz w:val="24"/>
                <w:szCs w:val="26"/>
                <w:lang w:val="uk-UA"/>
              </w:rPr>
              <w:t>Мін’юст</w:t>
            </w:r>
          </w:p>
        </w:tc>
        <w:tc>
          <w:tcPr>
            <w:tcW w:w="730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883F5F6" w14:textId="77777777" w:rsidR="00617BB2" w:rsidRPr="00617BB2" w:rsidRDefault="00617BB2" w:rsidP="00EA7B6A">
            <w:pPr>
              <w:spacing w:line="240" w:lineRule="auto"/>
              <w:ind w:left="100"/>
              <w:rPr>
                <w:sz w:val="24"/>
                <w:szCs w:val="26"/>
                <w:lang w:val="uk-UA"/>
              </w:rPr>
            </w:pPr>
            <w:r w:rsidRPr="00617BB2">
              <w:rPr>
                <w:sz w:val="24"/>
                <w:szCs w:val="26"/>
                <w:lang w:val="uk-UA"/>
              </w:rPr>
              <w:t>про землевласників або землекористувачів, а також про об’єкти незавершеного будівництва,</w:t>
            </w:r>
            <w:r w:rsidR="00EA7B6A">
              <w:rPr>
                <w:sz w:val="24"/>
                <w:szCs w:val="26"/>
                <w:lang w:val="uk-UA"/>
              </w:rPr>
              <w:t xml:space="preserve"> </w:t>
            </w:r>
            <w:r w:rsidRPr="00617BB2">
              <w:rPr>
                <w:sz w:val="24"/>
                <w:szCs w:val="26"/>
                <w:lang w:val="uk-UA"/>
              </w:rPr>
              <w:t>про оподатковуване нерухоме майно, відмінне від земельної ділянки, щодо якого у фізичних осіб виникає або припиняється право власності,</w:t>
            </w:r>
            <w:r w:rsidR="00EA7B6A">
              <w:rPr>
                <w:sz w:val="24"/>
                <w:szCs w:val="26"/>
                <w:lang w:val="uk-UA"/>
              </w:rPr>
              <w:t xml:space="preserve"> </w:t>
            </w:r>
            <w:r w:rsidRPr="00617BB2">
              <w:rPr>
                <w:sz w:val="24"/>
                <w:szCs w:val="26"/>
                <w:lang w:val="uk-UA"/>
              </w:rPr>
              <w:t xml:space="preserve">інформація щодо родинних </w:t>
            </w:r>
            <w:proofErr w:type="spellStart"/>
            <w:r w:rsidRPr="00617BB2">
              <w:rPr>
                <w:sz w:val="24"/>
                <w:szCs w:val="26"/>
                <w:lang w:val="uk-UA"/>
              </w:rPr>
              <w:t>зв’язків</w:t>
            </w:r>
            <w:proofErr w:type="spellEnd"/>
            <w:r w:rsidRPr="00617BB2">
              <w:rPr>
                <w:sz w:val="24"/>
                <w:szCs w:val="26"/>
                <w:lang w:val="uk-UA"/>
              </w:rPr>
              <w:t xml:space="preserve"> родинних </w:t>
            </w:r>
            <w:proofErr w:type="spellStart"/>
            <w:r w:rsidRPr="00617BB2">
              <w:rPr>
                <w:sz w:val="24"/>
                <w:szCs w:val="26"/>
                <w:lang w:val="uk-UA"/>
              </w:rPr>
              <w:t>зв’язків</w:t>
            </w:r>
            <w:proofErr w:type="spellEnd"/>
            <w:r w:rsidRPr="00617BB2">
              <w:rPr>
                <w:sz w:val="24"/>
                <w:szCs w:val="26"/>
                <w:lang w:val="uk-UA"/>
              </w:rPr>
              <w:t xml:space="preserve"> для підтвердження чи спростування пов’язаності осіб</w:t>
            </w:r>
          </w:p>
        </w:tc>
      </w:tr>
      <w:tr w:rsidR="00617BB2" w:rsidRPr="00617BB2" w14:paraId="05614566" w14:textId="77777777" w:rsidTr="00EA7B6A">
        <w:trPr>
          <w:trHeight w:val="454"/>
        </w:trPr>
        <w:tc>
          <w:tcPr>
            <w:tcW w:w="310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5D8A369" w14:textId="77777777" w:rsidR="00617BB2" w:rsidRPr="00617BB2" w:rsidRDefault="00617BB2" w:rsidP="00EA7B6A">
            <w:pPr>
              <w:spacing w:line="240" w:lineRule="auto"/>
              <w:ind w:left="100"/>
              <w:jc w:val="center"/>
              <w:rPr>
                <w:sz w:val="24"/>
                <w:szCs w:val="26"/>
                <w:lang w:val="uk-UA"/>
              </w:rPr>
            </w:pPr>
            <w:proofErr w:type="spellStart"/>
            <w:r w:rsidRPr="00617BB2">
              <w:rPr>
                <w:sz w:val="24"/>
                <w:szCs w:val="26"/>
                <w:lang w:val="uk-UA"/>
              </w:rPr>
              <w:t>Держгеокадастр</w:t>
            </w:r>
            <w:proofErr w:type="spellEnd"/>
          </w:p>
        </w:tc>
        <w:tc>
          <w:tcPr>
            <w:tcW w:w="730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301C14B" w14:textId="77777777" w:rsidR="00617BB2" w:rsidRPr="00617BB2" w:rsidRDefault="00617BB2" w:rsidP="00EA7B6A">
            <w:pPr>
              <w:spacing w:line="240" w:lineRule="auto"/>
              <w:ind w:left="100"/>
              <w:rPr>
                <w:sz w:val="24"/>
                <w:szCs w:val="26"/>
                <w:lang w:val="uk-UA"/>
              </w:rPr>
            </w:pPr>
            <w:r w:rsidRPr="00617BB2">
              <w:rPr>
                <w:sz w:val="24"/>
                <w:szCs w:val="26"/>
                <w:lang w:val="uk-UA"/>
              </w:rPr>
              <w:t>про земельні ділянки, зокрема про їх кадастровий номер дату реєстрації у Державному земельному кадастрі</w:t>
            </w:r>
          </w:p>
        </w:tc>
      </w:tr>
      <w:tr w:rsidR="00617BB2" w:rsidRPr="009B7B83" w14:paraId="51C2CEDE" w14:textId="77777777" w:rsidTr="00622E81">
        <w:trPr>
          <w:trHeight w:val="755"/>
        </w:trPr>
        <w:tc>
          <w:tcPr>
            <w:tcW w:w="310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7FB003C9" w14:textId="77777777" w:rsidR="00617BB2" w:rsidRPr="00617BB2" w:rsidRDefault="00617BB2" w:rsidP="00EA7B6A">
            <w:pPr>
              <w:spacing w:line="240" w:lineRule="auto"/>
              <w:ind w:left="100"/>
              <w:jc w:val="center"/>
              <w:rPr>
                <w:sz w:val="24"/>
                <w:szCs w:val="26"/>
                <w:lang w:val="uk-UA"/>
              </w:rPr>
            </w:pPr>
            <w:r w:rsidRPr="00617BB2">
              <w:rPr>
                <w:sz w:val="24"/>
                <w:szCs w:val="26"/>
                <w:lang w:val="uk-UA"/>
              </w:rPr>
              <w:t>Адміністрація судноплавства</w:t>
            </w:r>
          </w:p>
        </w:tc>
        <w:tc>
          <w:tcPr>
            <w:tcW w:w="730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1E8E3CE5" w14:textId="77777777" w:rsidR="00617BB2" w:rsidRPr="00617BB2" w:rsidRDefault="00617BB2" w:rsidP="00EA7B6A">
            <w:pPr>
              <w:spacing w:line="240" w:lineRule="auto"/>
              <w:ind w:left="100"/>
              <w:rPr>
                <w:sz w:val="24"/>
                <w:szCs w:val="26"/>
                <w:lang w:val="uk-UA"/>
              </w:rPr>
            </w:pPr>
            <w:r w:rsidRPr="00617BB2">
              <w:rPr>
                <w:sz w:val="24"/>
                <w:szCs w:val="26"/>
                <w:lang w:val="uk-UA"/>
              </w:rPr>
              <w:t>про реєстрацію (припинення реєстрації) суден у Державному судновому реєстрі України і Судновій книзі України, їх власників або фрахтувальників</w:t>
            </w:r>
          </w:p>
        </w:tc>
      </w:tr>
      <w:tr w:rsidR="00617BB2" w:rsidRPr="009B7B83" w14:paraId="53CA6213" w14:textId="77777777" w:rsidTr="001E7E34">
        <w:trPr>
          <w:trHeight w:val="755"/>
        </w:trPr>
        <w:tc>
          <w:tcPr>
            <w:tcW w:w="3105" w:type="dxa"/>
            <w:tcBorders>
              <w:top w:val="nil"/>
              <w:left w:val="single" w:sz="7" w:space="0" w:color="000000"/>
              <w:bottom w:val="single" w:sz="4" w:space="0" w:color="auto"/>
              <w:right w:val="single" w:sz="7" w:space="0" w:color="000000"/>
            </w:tcBorders>
            <w:shd w:val="clear" w:color="auto" w:fill="auto"/>
            <w:tcMar>
              <w:top w:w="100" w:type="dxa"/>
              <w:left w:w="100" w:type="dxa"/>
              <w:bottom w:w="100" w:type="dxa"/>
              <w:right w:w="100" w:type="dxa"/>
            </w:tcMar>
          </w:tcPr>
          <w:p w14:paraId="398704E6" w14:textId="77777777" w:rsidR="00617BB2" w:rsidRPr="00617BB2" w:rsidRDefault="00617BB2" w:rsidP="00EA7B6A">
            <w:pPr>
              <w:spacing w:line="240" w:lineRule="auto"/>
              <w:ind w:left="100"/>
              <w:jc w:val="center"/>
              <w:rPr>
                <w:sz w:val="24"/>
                <w:szCs w:val="26"/>
                <w:lang w:val="uk-UA"/>
              </w:rPr>
            </w:pPr>
            <w:proofErr w:type="spellStart"/>
            <w:r w:rsidRPr="00617BB2">
              <w:rPr>
                <w:sz w:val="24"/>
                <w:szCs w:val="26"/>
                <w:lang w:val="uk-UA"/>
              </w:rPr>
              <w:t>Державіаслужба</w:t>
            </w:r>
            <w:proofErr w:type="spellEnd"/>
          </w:p>
        </w:tc>
        <w:tc>
          <w:tcPr>
            <w:tcW w:w="730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BD3B4C3" w14:textId="77777777" w:rsidR="00617BB2" w:rsidRPr="00617BB2" w:rsidRDefault="00617BB2" w:rsidP="00EA7B6A">
            <w:pPr>
              <w:spacing w:line="240" w:lineRule="auto"/>
              <w:ind w:left="100"/>
              <w:rPr>
                <w:sz w:val="24"/>
                <w:szCs w:val="26"/>
                <w:lang w:val="uk-UA"/>
              </w:rPr>
            </w:pPr>
            <w:r w:rsidRPr="00617BB2">
              <w:rPr>
                <w:sz w:val="24"/>
                <w:szCs w:val="26"/>
                <w:lang w:val="uk-UA"/>
              </w:rPr>
              <w:t>про повітряні судна, зареєстровані (зняті з реєстрації) у державному реєстрі цивільних повітряних суден України, та їх власників або експлуатантів</w:t>
            </w:r>
          </w:p>
        </w:tc>
      </w:tr>
      <w:tr w:rsidR="00617BB2" w:rsidRPr="009B7B83" w14:paraId="1449553E" w14:textId="77777777" w:rsidTr="00EA7B6A">
        <w:trPr>
          <w:trHeight w:val="1745"/>
        </w:trPr>
        <w:tc>
          <w:tcPr>
            <w:tcW w:w="310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214673" w14:textId="77777777" w:rsidR="00617BB2" w:rsidRPr="00617BB2" w:rsidRDefault="00996F38" w:rsidP="00EA7B6A">
            <w:pPr>
              <w:spacing w:line="240" w:lineRule="auto"/>
              <w:ind w:left="100"/>
              <w:jc w:val="center"/>
              <w:rPr>
                <w:sz w:val="24"/>
                <w:szCs w:val="26"/>
                <w:lang w:val="uk-UA"/>
              </w:rPr>
            </w:pPr>
            <w:r>
              <w:rPr>
                <w:noProof/>
                <w:sz w:val="24"/>
                <w:szCs w:val="26"/>
                <w:lang w:val="uk-UA" w:eastAsia="uk-UA"/>
              </w:rPr>
              <mc:AlternateContent>
                <mc:Choice Requires="wps">
                  <w:drawing>
                    <wp:anchor distT="0" distB="0" distL="114300" distR="114300" simplePos="0" relativeHeight="251658240" behindDoc="0" locked="0" layoutInCell="1" allowOverlap="1" wp14:anchorId="14C2EF69" wp14:editId="15673A75">
                      <wp:simplePos x="0" y="0"/>
                      <wp:positionH relativeFrom="column">
                        <wp:posOffset>1907540</wp:posOffset>
                      </wp:positionH>
                      <wp:positionV relativeFrom="paragraph">
                        <wp:posOffset>-65278</wp:posOffset>
                      </wp:positionV>
                      <wp:extent cx="4632960" cy="0"/>
                      <wp:effectExtent l="0" t="0" r="15240" b="19050"/>
                      <wp:wrapNone/>
                      <wp:docPr id="1" name="Пряма сполучна лінія 1"/>
                      <wp:cNvGraphicFramePr/>
                      <a:graphic xmlns:a="http://schemas.openxmlformats.org/drawingml/2006/main">
                        <a:graphicData uri="http://schemas.microsoft.com/office/word/2010/wordprocessingShape">
                          <wps:wsp>
                            <wps:cNvCnPr/>
                            <wps:spPr>
                              <a:xfrm>
                                <a:off x="0" y="0"/>
                                <a:ext cx="4632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EF212F" id="Пряма сполучна ліні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2pt,-5.15pt" to="5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" strokecolor="black [3213]"/>
                  </w:pict>
                </mc:Fallback>
              </mc:AlternateContent>
            </w:r>
            <w:r w:rsidR="009E0230">
              <w:rPr>
                <w:sz w:val="24"/>
                <w:szCs w:val="26"/>
                <w:lang w:val="uk-UA"/>
              </w:rPr>
              <w:t>о</w:t>
            </w:r>
            <w:r w:rsidR="00617BB2" w:rsidRPr="00617BB2">
              <w:rPr>
                <w:sz w:val="24"/>
                <w:szCs w:val="26"/>
                <w:lang w:val="uk-UA"/>
              </w:rPr>
              <w:t>ргани ліцензування</w:t>
            </w:r>
          </w:p>
        </w:tc>
        <w:tc>
          <w:tcPr>
            <w:tcW w:w="7305" w:type="dxa"/>
            <w:tcBorders>
              <w:top w:val="nil"/>
              <w:left w:val="single" w:sz="8" w:space="0" w:color="000000"/>
              <w:bottom w:val="single" w:sz="7" w:space="0" w:color="000000"/>
              <w:right w:val="single" w:sz="7" w:space="0" w:color="000000"/>
            </w:tcBorders>
            <w:shd w:val="clear" w:color="auto" w:fill="auto"/>
            <w:tcMar>
              <w:top w:w="100" w:type="dxa"/>
              <w:left w:w="100" w:type="dxa"/>
              <w:bottom w:w="100" w:type="dxa"/>
              <w:right w:w="100" w:type="dxa"/>
            </w:tcMar>
          </w:tcPr>
          <w:p w14:paraId="15987190" w14:textId="77777777" w:rsidR="00617BB2" w:rsidRPr="00617BB2" w:rsidRDefault="00617BB2" w:rsidP="00EA7B6A">
            <w:pPr>
              <w:spacing w:line="240" w:lineRule="auto"/>
              <w:ind w:left="100"/>
              <w:rPr>
                <w:sz w:val="24"/>
                <w:szCs w:val="26"/>
                <w:lang w:val="uk-UA"/>
              </w:rPr>
            </w:pPr>
            <w:r w:rsidRPr="00617BB2">
              <w:rPr>
                <w:sz w:val="24"/>
                <w:szCs w:val="26"/>
                <w:lang w:val="uk-UA"/>
              </w:rPr>
              <w:t>про ліцензії, зокрема повне найменування (прізвище, ім’я, по батькові (за наявності) та місцезнаходження (місце проживання) СГ, місце провадження господарської діяльності, вид господарської діяльності, на право провадження якого видана ліцензія, серія, номер і дата видачі ліцензії, дата прийняття і номер рішення про видачу ліцензії, строк дії, дані про анулювання ліцензії</w:t>
            </w:r>
          </w:p>
        </w:tc>
      </w:tr>
      <w:tr w:rsidR="00617BB2" w:rsidRPr="00617BB2" w14:paraId="742194C2" w14:textId="77777777" w:rsidTr="00EA7B6A">
        <w:trPr>
          <w:trHeight w:val="707"/>
        </w:trPr>
        <w:tc>
          <w:tcPr>
            <w:tcW w:w="3105" w:type="dxa"/>
            <w:tcBorders>
              <w:top w:val="single" w:sz="8"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C57DA47" w14:textId="77777777" w:rsidR="00617BB2" w:rsidRPr="00617BB2" w:rsidRDefault="00617BB2" w:rsidP="00EA7B6A">
            <w:pPr>
              <w:spacing w:line="240" w:lineRule="auto"/>
              <w:ind w:left="100"/>
              <w:jc w:val="center"/>
              <w:rPr>
                <w:sz w:val="24"/>
                <w:szCs w:val="26"/>
                <w:lang w:val="uk-UA"/>
              </w:rPr>
            </w:pPr>
            <w:r w:rsidRPr="00617BB2">
              <w:rPr>
                <w:sz w:val="24"/>
                <w:szCs w:val="26"/>
                <w:lang w:val="uk-UA"/>
              </w:rPr>
              <w:t>органи виконавчої влади та інші суб’єкти інформаційних відносин</w:t>
            </w:r>
          </w:p>
        </w:tc>
        <w:tc>
          <w:tcPr>
            <w:tcW w:w="730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15DBCD2" w14:textId="77777777" w:rsidR="00617BB2" w:rsidRPr="00617BB2" w:rsidRDefault="00617BB2" w:rsidP="00EA7B6A">
            <w:pPr>
              <w:spacing w:line="240" w:lineRule="auto"/>
              <w:ind w:left="100"/>
              <w:rPr>
                <w:sz w:val="24"/>
                <w:szCs w:val="26"/>
                <w:lang w:val="uk-UA"/>
              </w:rPr>
            </w:pPr>
            <w:r w:rsidRPr="00617BB2">
              <w:rPr>
                <w:sz w:val="24"/>
                <w:szCs w:val="26"/>
                <w:lang w:val="uk-UA"/>
              </w:rPr>
              <w:t>про платників податків, інформацію пов’язану з їх реєстрацією, нарахуванням та сплатою податків і зборів, а також контролем за дотриманням податкового законодавства</w:t>
            </w:r>
          </w:p>
        </w:tc>
      </w:tr>
    </w:tbl>
    <w:p w14:paraId="4754D9D3" w14:textId="77777777" w:rsidR="00617BB2" w:rsidRPr="00617BB2" w:rsidRDefault="00617BB2" w:rsidP="00EA7B6A">
      <w:pPr>
        <w:spacing w:line="240" w:lineRule="auto"/>
        <w:ind w:firstLine="567"/>
        <w:jc w:val="center"/>
        <w:rPr>
          <w:rFonts w:eastAsia="Times New Roman"/>
          <w:b/>
          <w:sz w:val="24"/>
          <w:szCs w:val="28"/>
          <w:lang w:val="uk-UA" w:eastAsia="ru-RU"/>
        </w:rPr>
      </w:pPr>
    </w:p>
    <w:p w14:paraId="1D355D87" w14:textId="77777777" w:rsidR="00617BB2" w:rsidRDefault="00617BB2" w:rsidP="00EA7B6A">
      <w:pPr>
        <w:spacing w:line="240" w:lineRule="auto"/>
        <w:rPr>
          <w:lang w:val="uk-UA"/>
        </w:rPr>
      </w:pPr>
    </w:p>
    <w:p w14:paraId="2351D0C6" w14:textId="77777777" w:rsidR="00617BB2" w:rsidRPr="00617BB2" w:rsidRDefault="00617BB2" w:rsidP="00EA7B6A">
      <w:pPr>
        <w:spacing w:line="240" w:lineRule="auto"/>
        <w:jc w:val="center"/>
        <w:rPr>
          <w:lang w:val="uk-UA"/>
        </w:rPr>
      </w:pPr>
      <w:r w:rsidRPr="00BC2B19">
        <w:rPr>
          <w:szCs w:val="28"/>
        </w:rPr>
        <w:t>____________________________</w:t>
      </w:r>
    </w:p>
    <w:sectPr w:rsidR="00617BB2" w:rsidRPr="00617BB2" w:rsidSect="005E2E63">
      <w:headerReference w:type="default" r:id="rId8"/>
      <w:pgSz w:w="11906" w:h="16838"/>
      <w:pgMar w:top="709" w:right="850" w:bottom="850" w:left="1417"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8E967" w14:textId="77777777" w:rsidR="0015608A" w:rsidRDefault="0015608A" w:rsidP="00617BB2">
      <w:pPr>
        <w:spacing w:line="240" w:lineRule="auto"/>
      </w:pPr>
      <w:r>
        <w:separator/>
      </w:r>
    </w:p>
  </w:endnote>
  <w:endnote w:type="continuationSeparator" w:id="0">
    <w:p w14:paraId="49CB14D5" w14:textId="77777777" w:rsidR="0015608A" w:rsidRDefault="0015608A" w:rsidP="00617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A4D88" w14:textId="77777777" w:rsidR="0015608A" w:rsidRDefault="0015608A" w:rsidP="00617BB2">
      <w:pPr>
        <w:spacing w:line="240" w:lineRule="auto"/>
      </w:pPr>
      <w:r>
        <w:separator/>
      </w:r>
    </w:p>
  </w:footnote>
  <w:footnote w:type="continuationSeparator" w:id="0">
    <w:p w14:paraId="62CC9A9A" w14:textId="77777777" w:rsidR="0015608A" w:rsidRDefault="0015608A" w:rsidP="00617B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690727"/>
      <w:docPartObj>
        <w:docPartGallery w:val="Page Numbers (Top of Page)"/>
        <w:docPartUnique/>
      </w:docPartObj>
    </w:sdtPr>
    <w:sdtEndPr/>
    <w:sdtContent>
      <w:p w14:paraId="6797347E" w14:textId="77777777" w:rsidR="001E7E34" w:rsidRPr="0030425C" w:rsidRDefault="001E7E34" w:rsidP="00EA7B6A">
        <w:pPr>
          <w:pStyle w:val="a3"/>
          <w:jc w:val="center"/>
          <w:rPr>
            <w:lang w:val="uk-UA"/>
          </w:rPr>
        </w:pPr>
      </w:p>
      <w:p w14:paraId="2EC5A562" w14:textId="77777777" w:rsidR="00617BB2" w:rsidRDefault="009B7B83">
        <w:pPr>
          <w:pStyle w:val="a3"/>
          <w:jc w:val="center"/>
        </w:pPr>
      </w:p>
    </w:sdtContent>
  </w:sdt>
  <w:p w14:paraId="6F6671BF" w14:textId="77777777" w:rsidR="00617BB2" w:rsidRDefault="00617B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FA"/>
    <w:rsid w:val="00137EA3"/>
    <w:rsid w:val="0015608A"/>
    <w:rsid w:val="00165ECF"/>
    <w:rsid w:val="001E7E34"/>
    <w:rsid w:val="00302367"/>
    <w:rsid w:val="004A5A4D"/>
    <w:rsid w:val="004C3710"/>
    <w:rsid w:val="00597F0D"/>
    <w:rsid w:val="005E2E63"/>
    <w:rsid w:val="006046FA"/>
    <w:rsid w:val="00617BB2"/>
    <w:rsid w:val="006A4EEA"/>
    <w:rsid w:val="00761D0D"/>
    <w:rsid w:val="00784CB2"/>
    <w:rsid w:val="008C1BD6"/>
    <w:rsid w:val="00996F38"/>
    <w:rsid w:val="009B7B83"/>
    <w:rsid w:val="009E0230"/>
    <w:rsid w:val="00A045BD"/>
    <w:rsid w:val="00BD1291"/>
    <w:rsid w:val="00C75592"/>
    <w:rsid w:val="00CD7E5B"/>
    <w:rsid w:val="00D0628F"/>
    <w:rsid w:val="00D1133C"/>
    <w:rsid w:val="00D427BB"/>
    <w:rsid w:val="00E862EA"/>
    <w:rsid w:val="00EA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8C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33C"/>
    <w:pPr>
      <w:spacing w:after="0" w:line="360" w:lineRule="auto"/>
      <w:jc w:val="both"/>
    </w:pPr>
    <w:rPr>
      <w:rFonts w:ascii="Times New Roman" w:eastAsia="Calibri" w:hAnsi="Times New Roman" w:cs="Times New Roman"/>
      <w:sz w:val="28"/>
      <w:lang w:val="ru-RU"/>
    </w:rPr>
  </w:style>
  <w:style w:type="paragraph" w:styleId="2">
    <w:name w:val="heading 2"/>
    <w:basedOn w:val="a"/>
    <w:next w:val="a"/>
    <w:link w:val="20"/>
    <w:uiPriority w:val="9"/>
    <w:unhideWhenUsed/>
    <w:qFormat/>
    <w:rsid w:val="00617B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7BB2"/>
    <w:rPr>
      <w:rFonts w:asciiTheme="majorHAnsi" w:eastAsiaTheme="majorEastAsia" w:hAnsiTheme="majorHAnsi" w:cstheme="majorBidi"/>
      <w:b/>
      <w:bCs/>
      <w:color w:val="4F81BD" w:themeColor="accent1"/>
      <w:sz w:val="26"/>
      <w:szCs w:val="26"/>
      <w:lang w:val="ru-RU"/>
    </w:rPr>
  </w:style>
  <w:style w:type="paragraph" w:styleId="a3">
    <w:name w:val="header"/>
    <w:basedOn w:val="a"/>
    <w:link w:val="a4"/>
    <w:uiPriority w:val="99"/>
    <w:unhideWhenUsed/>
    <w:rsid w:val="00617BB2"/>
    <w:pPr>
      <w:tabs>
        <w:tab w:val="center" w:pos="4819"/>
        <w:tab w:val="right" w:pos="9639"/>
      </w:tabs>
      <w:spacing w:line="240" w:lineRule="auto"/>
    </w:pPr>
  </w:style>
  <w:style w:type="character" w:customStyle="1" w:styleId="a4">
    <w:name w:val="Верхній колонтитул Знак"/>
    <w:basedOn w:val="a0"/>
    <w:link w:val="a3"/>
    <w:uiPriority w:val="99"/>
    <w:rsid w:val="00617BB2"/>
    <w:rPr>
      <w:rFonts w:ascii="Times New Roman" w:eastAsia="Calibri" w:hAnsi="Times New Roman" w:cs="Times New Roman"/>
      <w:sz w:val="28"/>
      <w:lang w:val="ru-RU"/>
    </w:rPr>
  </w:style>
  <w:style w:type="paragraph" w:styleId="a5">
    <w:name w:val="footer"/>
    <w:basedOn w:val="a"/>
    <w:link w:val="a6"/>
    <w:uiPriority w:val="99"/>
    <w:unhideWhenUsed/>
    <w:rsid w:val="00617BB2"/>
    <w:pPr>
      <w:tabs>
        <w:tab w:val="center" w:pos="4819"/>
        <w:tab w:val="right" w:pos="9639"/>
      </w:tabs>
      <w:spacing w:line="240" w:lineRule="auto"/>
    </w:pPr>
  </w:style>
  <w:style w:type="character" w:customStyle="1" w:styleId="a6">
    <w:name w:val="Нижній колонтитул Знак"/>
    <w:basedOn w:val="a0"/>
    <w:link w:val="a5"/>
    <w:uiPriority w:val="99"/>
    <w:rsid w:val="00617BB2"/>
    <w:rPr>
      <w:rFonts w:ascii="Times New Roman" w:eastAsia="Calibri" w:hAnsi="Times New Roman" w:cs="Times New Roman"/>
      <w:sz w:val="28"/>
      <w:lang w:val="ru-RU"/>
    </w:rPr>
  </w:style>
  <w:style w:type="paragraph" w:styleId="a7">
    <w:name w:val="Balloon Text"/>
    <w:basedOn w:val="a"/>
    <w:link w:val="a8"/>
    <w:uiPriority w:val="99"/>
    <w:semiHidden/>
    <w:unhideWhenUsed/>
    <w:rsid w:val="00617BB2"/>
    <w:pPr>
      <w:spacing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617BB2"/>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33C"/>
    <w:pPr>
      <w:spacing w:after="0" w:line="360" w:lineRule="auto"/>
      <w:jc w:val="both"/>
    </w:pPr>
    <w:rPr>
      <w:rFonts w:ascii="Times New Roman" w:eastAsia="Calibri" w:hAnsi="Times New Roman" w:cs="Times New Roman"/>
      <w:sz w:val="28"/>
      <w:lang w:val="ru-RU"/>
    </w:rPr>
  </w:style>
  <w:style w:type="paragraph" w:styleId="2">
    <w:name w:val="heading 2"/>
    <w:basedOn w:val="a"/>
    <w:next w:val="a"/>
    <w:link w:val="20"/>
    <w:uiPriority w:val="9"/>
    <w:unhideWhenUsed/>
    <w:qFormat/>
    <w:rsid w:val="00617B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7BB2"/>
    <w:rPr>
      <w:rFonts w:asciiTheme="majorHAnsi" w:eastAsiaTheme="majorEastAsia" w:hAnsiTheme="majorHAnsi" w:cstheme="majorBidi"/>
      <w:b/>
      <w:bCs/>
      <w:color w:val="4F81BD" w:themeColor="accent1"/>
      <w:sz w:val="26"/>
      <w:szCs w:val="26"/>
      <w:lang w:val="ru-RU"/>
    </w:rPr>
  </w:style>
  <w:style w:type="paragraph" w:styleId="a3">
    <w:name w:val="header"/>
    <w:basedOn w:val="a"/>
    <w:link w:val="a4"/>
    <w:uiPriority w:val="99"/>
    <w:unhideWhenUsed/>
    <w:rsid w:val="00617BB2"/>
    <w:pPr>
      <w:tabs>
        <w:tab w:val="center" w:pos="4819"/>
        <w:tab w:val="right" w:pos="9639"/>
      </w:tabs>
      <w:spacing w:line="240" w:lineRule="auto"/>
    </w:pPr>
  </w:style>
  <w:style w:type="character" w:customStyle="1" w:styleId="a4">
    <w:name w:val="Верхній колонтитул Знак"/>
    <w:basedOn w:val="a0"/>
    <w:link w:val="a3"/>
    <w:uiPriority w:val="99"/>
    <w:rsid w:val="00617BB2"/>
    <w:rPr>
      <w:rFonts w:ascii="Times New Roman" w:eastAsia="Calibri" w:hAnsi="Times New Roman" w:cs="Times New Roman"/>
      <w:sz w:val="28"/>
      <w:lang w:val="ru-RU"/>
    </w:rPr>
  </w:style>
  <w:style w:type="paragraph" w:styleId="a5">
    <w:name w:val="footer"/>
    <w:basedOn w:val="a"/>
    <w:link w:val="a6"/>
    <w:uiPriority w:val="99"/>
    <w:unhideWhenUsed/>
    <w:rsid w:val="00617BB2"/>
    <w:pPr>
      <w:tabs>
        <w:tab w:val="center" w:pos="4819"/>
        <w:tab w:val="right" w:pos="9639"/>
      </w:tabs>
      <w:spacing w:line="240" w:lineRule="auto"/>
    </w:pPr>
  </w:style>
  <w:style w:type="character" w:customStyle="1" w:styleId="a6">
    <w:name w:val="Нижній колонтитул Знак"/>
    <w:basedOn w:val="a0"/>
    <w:link w:val="a5"/>
    <w:uiPriority w:val="99"/>
    <w:rsid w:val="00617BB2"/>
    <w:rPr>
      <w:rFonts w:ascii="Times New Roman" w:eastAsia="Calibri" w:hAnsi="Times New Roman" w:cs="Times New Roman"/>
      <w:sz w:val="28"/>
      <w:lang w:val="ru-RU"/>
    </w:rPr>
  </w:style>
  <w:style w:type="paragraph" w:styleId="a7">
    <w:name w:val="Balloon Text"/>
    <w:basedOn w:val="a"/>
    <w:link w:val="a8"/>
    <w:uiPriority w:val="99"/>
    <w:semiHidden/>
    <w:unhideWhenUsed/>
    <w:rsid w:val="00617BB2"/>
    <w:pPr>
      <w:spacing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617BB2"/>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49BF0-1262-4FE2-9CDA-AE80E15C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1330</Words>
  <Characters>759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СІРОШ ОЛЕКСАНДР АНАТОЛІЙОВИЧ</dc:creator>
  <cp:keywords/>
  <dc:description/>
  <cp:lastModifiedBy>СІРОШ ОЛЕКСАНДР АНАТОЛІЙОВИЧ</cp:lastModifiedBy>
  <cp:revision>18</cp:revision>
  <cp:lastPrinted>2023-04-21T07:44:00Z</cp:lastPrinted>
  <dcterms:created xsi:type="dcterms:W3CDTF">2023-04-20T12:29:00Z</dcterms:created>
  <dcterms:modified xsi:type="dcterms:W3CDTF">2023-05-26T07:23:00Z</dcterms:modified>
</cp:coreProperties>
</file>