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C2" w:rsidRPr="00107142" w:rsidRDefault="00C73AC2" w:rsidP="00C73AC2">
      <w:pPr>
        <w:tabs>
          <w:tab w:val="left" w:pos="9540"/>
        </w:tabs>
        <w:spacing w:before="120"/>
        <w:ind w:right="-83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07142">
        <w:rPr>
          <w:b/>
          <w:bCs/>
          <w:sz w:val="28"/>
          <w:szCs w:val="28"/>
          <w:lang w:val="uk-UA"/>
        </w:rPr>
        <w:t>ПОЯСНЮВАЛЬНА ЗАПИСКА</w:t>
      </w:r>
    </w:p>
    <w:p w:rsidR="00C73AC2" w:rsidRPr="00107142" w:rsidRDefault="00C73AC2" w:rsidP="00C73AC2">
      <w:pPr>
        <w:tabs>
          <w:tab w:val="left" w:pos="9540"/>
        </w:tabs>
        <w:spacing w:before="120"/>
        <w:ind w:right="-83"/>
        <w:jc w:val="center"/>
        <w:rPr>
          <w:b/>
          <w:bCs/>
          <w:sz w:val="28"/>
          <w:szCs w:val="28"/>
          <w:lang w:val="uk-UA"/>
        </w:rPr>
      </w:pPr>
      <w:r w:rsidRPr="00107142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Pr="00107142">
        <w:rPr>
          <w:b/>
          <w:bCs/>
          <w:sz w:val="28"/>
          <w:szCs w:val="28"/>
          <w:lang w:val="uk-UA"/>
        </w:rPr>
        <w:t>про</w:t>
      </w:r>
      <w:r w:rsidR="00E4557C">
        <w:rPr>
          <w:b/>
          <w:bCs/>
          <w:sz w:val="28"/>
          <w:szCs w:val="28"/>
          <w:lang w:val="uk-UA"/>
        </w:rPr>
        <w:t>є</w:t>
      </w:r>
      <w:r w:rsidRPr="00107142">
        <w:rPr>
          <w:b/>
          <w:bCs/>
          <w:sz w:val="28"/>
          <w:szCs w:val="28"/>
          <w:lang w:val="uk-UA"/>
        </w:rPr>
        <w:t>кту</w:t>
      </w:r>
      <w:proofErr w:type="spellEnd"/>
      <w:r w:rsidRPr="00107142">
        <w:rPr>
          <w:b/>
          <w:bCs/>
          <w:sz w:val="28"/>
          <w:szCs w:val="28"/>
          <w:lang w:val="uk-UA"/>
        </w:rPr>
        <w:t xml:space="preserve"> наказу Міністерства фінансів України «Про затвердження змін до Порядку формування плану-графіка проведення документальних планових перевірок платників податків»</w:t>
      </w:r>
    </w:p>
    <w:p w:rsidR="00F0043E" w:rsidRPr="007F3A44" w:rsidRDefault="00F0043E" w:rsidP="00107142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</w:p>
    <w:p w:rsidR="00167936" w:rsidRPr="00107142" w:rsidRDefault="00167936" w:rsidP="00107142">
      <w:pPr>
        <w:ind w:firstLine="567"/>
        <w:jc w:val="both"/>
        <w:rPr>
          <w:b/>
          <w:sz w:val="28"/>
          <w:szCs w:val="28"/>
          <w:lang w:val="uk-UA"/>
        </w:rPr>
      </w:pPr>
      <w:r w:rsidRPr="00107142">
        <w:rPr>
          <w:b/>
          <w:sz w:val="28"/>
          <w:szCs w:val="28"/>
          <w:lang w:val="uk-UA"/>
        </w:rPr>
        <w:t>1. Мета</w:t>
      </w:r>
    </w:p>
    <w:p w:rsidR="00FB32E7" w:rsidRPr="00107142" w:rsidRDefault="003B4DE0" w:rsidP="00107142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107142">
        <w:rPr>
          <w:sz w:val="28"/>
          <w:szCs w:val="28"/>
          <w:lang w:val="uk-UA"/>
        </w:rPr>
        <w:t>Про</w:t>
      </w:r>
      <w:r w:rsidR="00E4557C">
        <w:rPr>
          <w:sz w:val="28"/>
          <w:szCs w:val="28"/>
          <w:lang w:val="uk-UA"/>
        </w:rPr>
        <w:t>є</w:t>
      </w:r>
      <w:r w:rsidR="00FB32E7" w:rsidRPr="00107142">
        <w:rPr>
          <w:sz w:val="28"/>
          <w:szCs w:val="28"/>
          <w:lang w:val="uk-UA"/>
        </w:rPr>
        <w:t>кт</w:t>
      </w:r>
      <w:proofErr w:type="spellEnd"/>
      <w:r w:rsidR="00FB32E7" w:rsidRPr="00107142">
        <w:rPr>
          <w:sz w:val="28"/>
          <w:szCs w:val="28"/>
          <w:lang w:val="uk-UA"/>
        </w:rPr>
        <w:t xml:space="preserve"> наказу Міністерства фінансів України «Про затвердження змін до Порядку формування плану-графіка проведення документальних планових перевірок </w:t>
      </w:r>
      <w:r w:rsidRPr="00107142">
        <w:rPr>
          <w:sz w:val="28"/>
          <w:szCs w:val="28"/>
          <w:lang w:val="uk-UA"/>
        </w:rPr>
        <w:t xml:space="preserve">платників податків» (далі – </w:t>
      </w:r>
      <w:proofErr w:type="spellStart"/>
      <w:r w:rsidR="00B94FAF" w:rsidRPr="00107142">
        <w:rPr>
          <w:sz w:val="28"/>
          <w:szCs w:val="28"/>
          <w:lang w:val="uk-UA"/>
        </w:rPr>
        <w:t>п</w:t>
      </w:r>
      <w:r w:rsidRPr="00107142">
        <w:rPr>
          <w:sz w:val="28"/>
          <w:szCs w:val="28"/>
          <w:lang w:val="uk-UA"/>
        </w:rPr>
        <w:t>ро</w:t>
      </w:r>
      <w:r w:rsidR="00E4557C">
        <w:rPr>
          <w:sz w:val="28"/>
          <w:szCs w:val="28"/>
          <w:lang w:val="uk-UA"/>
        </w:rPr>
        <w:t>є</w:t>
      </w:r>
      <w:r w:rsidR="00FB32E7" w:rsidRPr="00107142">
        <w:rPr>
          <w:sz w:val="28"/>
          <w:szCs w:val="28"/>
          <w:lang w:val="uk-UA"/>
        </w:rPr>
        <w:t>кт</w:t>
      </w:r>
      <w:proofErr w:type="spellEnd"/>
      <w:r w:rsidR="00175871" w:rsidRPr="00107142">
        <w:rPr>
          <w:sz w:val="28"/>
          <w:szCs w:val="28"/>
          <w:lang w:val="uk-UA"/>
        </w:rPr>
        <w:t xml:space="preserve"> наказу</w:t>
      </w:r>
      <w:r w:rsidR="00FB32E7" w:rsidRPr="00107142">
        <w:rPr>
          <w:sz w:val="28"/>
          <w:szCs w:val="28"/>
          <w:lang w:val="uk-UA"/>
        </w:rPr>
        <w:t>) розроблено з метою</w:t>
      </w:r>
      <w:r w:rsidR="00C73AC2" w:rsidRPr="00107142">
        <w:rPr>
          <w:sz w:val="28"/>
          <w:szCs w:val="28"/>
          <w:lang w:val="uk-UA"/>
        </w:rPr>
        <w:t xml:space="preserve"> </w:t>
      </w:r>
      <w:r w:rsidR="00FB32E7" w:rsidRPr="00107142">
        <w:rPr>
          <w:sz w:val="28"/>
          <w:szCs w:val="28"/>
          <w:lang w:val="uk-UA"/>
        </w:rPr>
        <w:t>забезпечення належного функціонування міжрегіональних управлінь ДПС по роботі з великими платниками податків у частині формування плану-графіка проведення документальних планових перевірок платників податків та удосконал</w:t>
      </w:r>
      <w:r w:rsidRPr="00107142">
        <w:rPr>
          <w:sz w:val="28"/>
          <w:szCs w:val="28"/>
          <w:lang w:val="uk-UA"/>
        </w:rPr>
        <w:t>ення</w:t>
      </w:r>
      <w:r w:rsidR="00FB32E7" w:rsidRPr="00107142">
        <w:rPr>
          <w:sz w:val="28"/>
          <w:szCs w:val="28"/>
          <w:lang w:val="uk-UA"/>
        </w:rPr>
        <w:t xml:space="preserve"> критеріїв ризиковості від провадження господарської діяльності платників </w:t>
      </w:r>
      <w:r w:rsidR="00211E10" w:rsidRPr="00107142">
        <w:rPr>
          <w:sz w:val="28"/>
          <w:szCs w:val="28"/>
          <w:lang w:val="uk-UA"/>
        </w:rPr>
        <w:t>податків.</w:t>
      </w:r>
    </w:p>
    <w:p w:rsidR="00C73AC2" w:rsidRPr="007F3A44" w:rsidRDefault="00C73AC2" w:rsidP="00107142">
      <w:pPr>
        <w:ind w:firstLine="567"/>
        <w:rPr>
          <w:bCs/>
          <w:sz w:val="28"/>
          <w:szCs w:val="28"/>
          <w:lang w:val="uk-UA"/>
        </w:rPr>
      </w:pPr>
    </w:p>
    <w:p w:rsidR="00211E10" w:rsidRPr="00107142" w:rsidRDefault="00211E10" w:rsidP="00107142">
      <w:pPr>
        <w:ind w:firstLine="567"/>
        <w:jc w:val="both"/>
        <w:rPr>
          <w:b/>
          <w:sz w:val="28"/>
          <w:szCs w:val="28"/>
          <w:lang w:val="uk-UA"/>
        </w:rPr>
      </w:pPr>
      <w:r w:rsidRPr="00107142">
        <w:rPr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107142">
        <w:rPr>
          <w:b/>
          <w:sz w:val="28"/>
          <w:szCs w:val="28"/>
          <w:lang w:val="uk-UA"/>
        </w:rPr>
        <w:t>акта</w:t>
      </w:r>
      <w:proofErr w:type="spellEnd"/>
    </w:p>
    <w:p w:rsidR="00175871" w:rsidRPr="00107142" w:rsidRDefault="00A853AF" w:rsidP="0010714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107142">
        <w:rPr>
          <w:sz w:val="28"/>
          <w:szCs w:val="28"/>
          <w:lang w:val="uk-UA"/>
        </w:rPr>
        <w:t>Про</w:t>
      </w:r>
      <w:r w:rsidR="00E4557C">
        <w:rPr>
          <w:sz w:val="28"/>
          <w:szCs w:val="28"/>
          <w:lang w:val="uk-UA"/>
        </w:rPr>
        <w:t>є</w:t>
      </w:r>
      <w:r w:rsidRPr="00107142">
        <w:rPr>
          <w:sz w:val="28"/>
          <w:szCs w:val="28"/>
          <w:lang w:val="uk-UA"/>
        </w:rPr>
        <w:t>кт</w:t>
      </w:r>
      <w:proofErr w:type="spellEnd"/>
      <w:r w:rsidRPr="00107142">
        <w:rPr>
          <w:sz w:val="28"/>
          <w:szCs w:val="28"/>
          <w:lang w:val="uk-UA"/>
        </w:rPr>
        <w:t xml:space="preserve"> </w:t>
      </w:r>
      <w:r w:rsidR="00175871" w:rsidRPr="00107142">
        <w:rPr>
          <w:sz w:val="28"/>
          <w:szCs w:val="28"/>
          <w:lang w:val="uk-UA"/>
        </w:rPr>
        <w:t>наказу розроблено відповідно до вимог Податкового кодексу України (далі – Кодекс).</w:t>
      </w:r>
    </w:p>
    <w:p w:rsidR="00C73AC2" w:rsidRPr="00107142" w:rsidRDefault="00175871" w:rsidP="00107142">
      <w:pPr>
        <w:ind w:firstLine="567"/>
        <w:jc w:val="both"/>
        <w:rPr>
          <w:sz w:val="28"/>
          <w:szCs w:val="28"/>
          <w:lang w:val="uk-UA"/>
        </w:rPr>
      </w:pPr>
      <w:r w:rsidRPr="00107142">
        <w:rPr>
          <w:sz w:val="28"/>
          <w:szCs w:val="28"/>
          <w:lang w:val="uk-UA"/>
        </w:rPr>
        <w:t>При цьому п</w:t>
      </w:r>
      <w:r w:rsidR="00C73AC2" w:rsidRPr="00107142">
        <w:rPr>
          <w:sz w:val="28"/>
          <w:szCs w:val="28"/>
          <w:lang w:val="uk-UA"/>
        </w:rPr>
        <w:t xml:space="preserve">остановою Кабінету Міністрів України </w:t>
      </w:r>
      <w:r w:rsidR="008A3FF8" w:rsidRPr="00107142">
        <w:rPr>
          <w:sz w:val="28"/>
          <w:szCs w:val="28"/>
          <w:lang w:val="uk-UA"/>
        </w:rPr>
        <w:t>від 30</w:t>
      </w:r>
      <w:r w:rsidR="00E4557C">
        <w:rPr>
          <w:sz w:val="28"/>
          <w:szCs w:val="28"/>
          <w:lang w:val="uk-UA"/>
        </w:rPr>
        <w:t xml:space="preserve"> вересня </w:t>
      </w:r>
      <w:r w:rsidR="008A3FF8" w:rsidRPr="00107142">
        <w:rPr>
          <w:sz w:val="28"/>
          <w:szCs w:val="28"/>
          <w:lang w:val="uk-UA"/>
        </w:rPr>
        <w:t>2020</w:t>
      </w:r>
      <w:r w:rsidR="00E4557C">
        <w:rPr>
          <w:sz w:val="28"/>
          <w:szCs w:val="28"/>
          <w:lang w:val="uk-UA"/>
        </w:rPr>
        <w:t xml:space="preserve"> року </w:t>
      </w:r>
      <w:r w:rsidR="008A3FF8" w:rsidRPr="00107142">
        <w:rPr>
          <w:sz w:val="28"/>
          <w:szCs w:val="28"/>
          <w:lang w:val="uk-UA"/>
        </w:rPr>
        <w:t>№ 893 «</w:t>
      </w:r>
      <w:r w:rsidR="00C73AC2" w:rsidRPr="00107142">
        <w:rPr>
          <w:sz w:val="28"/>
          <w:szCs w:val="28"/>
          <w:lang w:val="uk-UA"/>
        </w:rPr>
        <w:t xml:space="preserve">Деякі питання територіальних органів Державної податкової служби» ліквідовано </w:t>
      </w:r>
      <w:r w:rsidR="00EC0992" w:rsidRPr="00107142">
        <w:rPr>
          <w:sz w:val="28"/>
          <w:szCs w:val="28"/>
          <w:lang w:val="uk-UA"/>
        </w:rPr>
        <w:t xml:space="preserve">як юридичних осіб публічного права </w:t>
      </w:r>
      <w:r w:rsidR="00C73AC2" w:rsidRPr="00107142">
        <w:rPr>
          <w:sz w:val="28"/>
          <w:szCs w:val="28"/>
          <w:lang w:val="uk-UA"/>
        </w:rPr>
        <w:t>територіальні органи ДПС та забезпечено утворення нових територіальних органів ДПС.</w:t>
      </w:r>
    </w:p>
    <w:p w:rsidR="004A4198" w:rsidRPr="00107142" w:rsidRDefault="004A4198" w:rsidP="00107142">
      <w:pPr>
        <w:ind w:firstLine="567"/>
        <w:jc w:val="both"/>
        <w:rPr>
          <w:sz w:val="28"/>
          <w:szCs w:val="28"/>
          <w:lang w:val="uk-UA"/>
        </w:rPr>
      </w:pPr>
      <w:r w:rsidRPr="00107142">
        <w:rPr>
          <w:sz w:val="28"/>
          <w:szCs w:val="28"/>
          <w:lang w:val="uk-UA"/>
        </w:rPr>
        <w:t xml:space="preserve">Відповідно до наказу ДПС від 30.09.2020 № 529 </w:t>
      </w:r>
      <w:r w:rsidR="008A3FF8" w:rsidRPr="00107142">
        <w:rPr>
          <w:sz w:val="28"/>
          <w:szCs w:val="28"/>
          <w:lang w:val="uk-UA"/>
        </w:rPr>
        <w:t>«</w:t>
      </w:r>
      <w:r w:rsidR="00BC0425" w:rsidRPr="00107142">
        <w:rPr>
          <w:sz w:val="28"/>
          <w:szCs w:val="28"/>
          <w:lang w:val="uk-UA"/>
        </w:rPr>
        <w:t>Про утворення територіальних органів Державної податкової служби</w:t>
      </w:r>
      <w:r w:rsidR="008A3FF8" w:rsidRPr="00107142">
        <w:rPr>
          <w:sz w:val="28"/>
          <w:szCs w:val="28"/>
          <w:lang w:val="uk-UA"/>
        </w:rPr>
        <w:t xml:space="preserve">» </w:t>
      </w:r>
      <w:r w:rsidR="00C73AC2" w:rsidRPr="00107142">
        <w:rPr>
          <w:sz w:val="28"/>
          <w:szCs w:val="28"/>
          <w:lang w:val="uk-UA"/>
        </w:rPr>
        <w:t>утворен</w:t>
      </w:r>
      <w:r w:rsidRPr="00107142">
        <w:rPr>
          <w:sz w:val="28"/>
          <w:szCs w:val="28"/>
          <w:lang w:val="uk-UA"/>
        </w:rPr>
        <w:t>о</w:t>
      </w:r>
      <w:r w:rsidR="00C73AC2" w:rsidRPr="00107142">
        <w:rPr>
          <w:sz w:val="28"/>
          <w:szCs w:val="28"/>
          <w:lang w:val="uk-UA"/>
        </w:rPr>
        <w:t xml:space="preserve"> міжрегіональн</w:t>
      </w:r>
      <w:r w:rsidRPr="00107142">
        <w:rPr>
          <w:sz w:val="28"/>
          <w:szCs w:val="28"/>
          <w:lang w:val="uk-UA"/>
        </w:rPr>
        <w:t>і</w:t>
      </w:r>
      <w:r w:rsidR="00C73AC2" w:rsidRPr="00107142">
        <w:rPr>
          <w:sz w:val="28"/>
          <w:szCs w:val="28"/>
          <w:lang w:val="uk-UA"/>
        </w:rPr>
        <w:t xml:space="preserve"> управлін</w:t>
      </w:r>
      <w:r w:rsidRPr="00107142">
        <w:rPr>
          <w:sz w:val="28"/>
          <w:szCs w:val="28"/>
          <w:lang w:val="uk-UA"/>
        </w:rPr>
        <w:t>ня</w:t>
      </w:r>
      <w:r w:rsidR="00C73AC2" w:rsidRPr="00107142">
        <w:rPr>
          <w:sz w:val="28"/>
          <w:szCs w:val="28"/>
          <w:lang w:val="uk-UA"/>
        </w:rPr>
        <w:t xml:space="preserve"> ДПС по роботі з великими платниками податків</w:t>
      </w:r>
      <w:r w:rsidR="00C73AC2" w:rsidRPr="00107142" w:rsidDel="00C70FA6">
        <w:rPr>
          <w:sz w:val="28"/>
          <w:szCs w:val="28"/>
          <w:lang w:val="uk-UA"/>
        </w:rPr>
        <w:t xml:space="preserve"> </w:t>
      </w:r>
      <w:r w:rsidR="00C73AC2" w:rsidRPr="00107142">
        <w:rPr>
          <w:sz w:val="28"/>
          <w:szCs w:val="28"/>
          <w:lang w:val="uk-UA"/>
        </w:rPr>
        <w:t xml:space="preserve">та </w:t>
      </w:r>
      <w:r w:rsidR="003B4DE0" w:rsidRPr="00107142">
        <w:rPr>
          <w:sz w:val="28"/>
          <w:szCs w:val="28"/>
          <w:lang w:val="uk-UA"/>
        </w:rPr>
        <w:t>згідно з</w:t>
      </w:r>
      <w:r w:rsidRPr="00107142">
        <w:rPr>
          <w:sz w:val="28"/>
          <w:szCs w:val="28"/>
          <w:lang w:val="uk-UA"/>
        </w:rPr>
        <w:t xml:space="preserve"> наказ</w:t>
      </w:r>
      <w:r w:rsidR="003B4DE0" w:rsidRPr="00107142">
        <w:rPr>
          <w:sz w:val="28"/>
          <w:szCs w:val="28"/>
          <w:lang w:val="uk-UA"/>
        </w:rPr>
        <w:t>ом</w:t>
      </w:r>
      <w:r w:rsidR="00C66B80" w:rsidRPr="00107142">
        <w:rPr>
          <w:sz w:val="28"/>
          <w:szCs w:val="28"/>
          <w:lang w:val="uk-UA"/>
        </w:rPr>
        <w:t> </w:t>
      </w:r>
      <w:r w:rsidRPr="00107142">
        <w:rPr>
          <w:sz w:val="28"/>
          <w:szCs w:val="28"/>
          <w:lang w:val="uk-UA"/>
        </w:rPr>
        <w:t xml:space="preserve">ДПС від 08.10.2020 № 556 </w:t>
      </w:r>
      <w:r w:rsidR="008A3FF8" w:rsidRPr="00107142">
        <w:rPr>
          <w:sz w:val="28"/>
          <w:szCs w:val="28"/>
          <w:lang w:val="uk-UA"/>
        </w:rPr>
        <w:t>«</w:t>
      </w:r>
      <w:r w:rsidR="00BC0425" w:rsidRPr="00107142">
        <w:rPr>
          <w:sz w:val="28"/>
          <w:szCs w:val="28"/>
          <w:lang w:val="uk-UA"/>
        </w:rPr>
        <w:t>Про ліквідацію територіальних органів ДПС</w:t>
      </w:r>
      <w:r w:rsidR="008A3FF8" w:rsidRPr="00107142">
        <w:rPr>
          <w:sz w:val="28"/>
          <w:szCs w:val="28"/>
          <w:lang w:val="uk-UA"/>
        </w:rPr>
        <w:t xml:space="preserve">» </w:t>
      </w:r>
      <w:r w:rsidR="00C73AC2" w:rsidRPr="00107142">
        <w:rPr>
          <w:sz w:val="28"/>
          <w:szCs w:val="28"/>
          <w:lang w:val="uk-UA"/>
        </w:rPr>
        <w:t>ліквід</w:t>
      </w:r>
      <w:r w:rsidRPr="00107142">
        <w:rPr>
          <w:sz w:val="28"/>
          <w:szCs w:val="28"/>
          <w:lang w:val="uk-UA"/>
        </w:rPr>
        <w:t>овано</w:t>
      </w:r>
      <w:r w:rsidR="00C73AC2" w:rsidRPr="00107142">
        <w:rPr>
          <w:sz w:val="28"/>
          <w:szCs w:val="28"/>
          <w:lang w:val="uk-UA"/>
        </w:rPr>
        <w:t xml:space="preserve"> як юридичн</w:t>
      </w:r>
      <w:r w:rsidRPr="00107142">
        <w:rPr>
          <w:sz w:val="28"/>
          <w:szCs w:val="28"/>
          <w:lang w:val="uk-UA"/>
        </w:rPr>
        <w:t>у</w:t>
      </w:r>
      <w:r w:rsidR="00C73AC2" w:rsidRPr="00107142">
        <w:rPr>
          <w:sz w:val="28"/>
          <w:szCs w:val="28"/>
          <w:lang w:val="uk-UA"/>
        </w:rPr>
        <w:t xml:space="preserve"> особ</w:t>
      </w:r>
      <w:r w:rsidRPr="00107142">
        <w:rPr>
          <w:sz w:val="28"/>
          <w:szCs w:val="28"/>
          <w:lang w:val="uk-UA"/>
        </w:rPr>
        <w:t>у</w:t>
      </w:r>
      <w:r w:rsidR="00C73AC2" w:rsidRPr="00107142">
        <w:rPr>
          <w:sz w:val="28"/>
          <w:szCs w:val="28"/>
          <w:lang w:val="uk-UA"/>
        </w:rPr>
        <w:t xml:space="preserve"> публічного права Офіс великих платників податків ДПС</w:t>
      </w:r>
      <w:r w:rsidRPr="00107142">
        <w:rPr>
          <w:sz w:val="28"/>
          <w:szCs w:val="28"/>
          <w:lang w:val="uk-UA"/>
        </w:rPr>
        <w:t>.</w:t>
      </w:r>
    </w:p>
    <w:p w:rsidR="003B4DE0" w:rsidRPr="00107142" w:rsidRDefault="006208AF" w:rsidP="001071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тому</w:t>
      </w:r>
      <w:r w:rsidR="004A4198" w:rsidRPr="00107142">
        <w:rPr>
          <w:sz w:val="28"/>
          <w:szCs w:val="28"/>
          <w:lang w:val="uk-UA"/>
        </w:rPr>
        <w:t xml:space="preserve"> в</w:t>
      </w:r>
      <w:r w:rsidR="00C73AC2" w:rsidRPr="00107142">
        <w:rPr>
          <w:sz w:val="28"/>
          <w:szCs w:val="28"/>
          <w:lang w:val="uk-UA"/>
        </w:rPr>
        <w:t xml:space="preserve">иникла необхідність </w:t>
      </w:r>
      <w:r w:rsidR="003B4DE0" w:rsidRPr="00107142">
        <w:rPr>
          <w:sz w:val="28"/>
          <w:szCs w:val="28"/>
          <w:lang w:val="uk-UA"/>
        </w:rPr>
        <w:t>привести у відповідність до вимог чинного законодавства процедуру формування плану-графіка проведення документальних планових перевірок платників податків (далі – план-графік) з метою належного функціонування міжрегіональних управлінь ДПС по роботі з великими платниками податків.</w:t>
      </w:r>
    </w:p>
    <w:p w:rsidR="00211E10" w:rsidRPr="00107142" w:rsidRDefault="00C73AC2" w:rsidP="00107142">
      <w:pPr>
        <w:ind w:firstLine="567"/>
        <w:jc w:val="both"/>
        <w:rPr>
          <w:sz w:val="28"/>
          <w:szCs w:val="28"/>
          <w:lang w:val="uk-UA"/>
        </w:rPr>
      </w:pPr>
      <w:r w:rsidRPr="00107142">
        <w:rPr>
          <w:sz w:val="28"/>
          <w:szCs w:val="28"/>
          <w:lang w:val="uk-UA"/>
        </w:rPr>
        <w:t xml:space="preserve">Також 24.02.2021 Міністром фінансів України затверджено Пріоритети діяльності ДПС на 2021 рік. </w:t>
      </w:r>
    </w:p>
    <w:p w:rsidR="00C73AC2" w:rsidRPr="00107142" w:rsidRDefault="00613576" w:rsidP="00107142">
      <w:pPr>
        <w:ind w:firstLine="567"/>
        <w:jc w:val="both"/>
        <w:rPr>
          <w:sz w:val="28"/>
          <w:szCs w:val="28"/>
          <w:lang w:val="uk-UA"/>
        </w:rPr>
      </w:pPr>
      <w:r w:rsidRPr="00107142">
        <w:rPr>
          <w:sz w:val="28"/>
          <w:szCs w:val="28"/>
          <w:lang w:val="uk-UA"/>
        </w:rPr>
        <w:t>Тому з</w:t>
      </w:r>
      <w:r w:rsidR="00C73AC2" w:rsidRPr="00107142">
        <w:rPr>
          <w:sz w:val="28"/>
          <w:szCs w:val="28"/>
          <w:lang w:val="uk-UA"/>
        </w:rPr>
        <w:t> метою виконання розділу ІV Прі</w:t>
      </w:r>
      <w:r w:rsidR="00FF5FA1" w:rsidRPr="00107142">
        <w:rPr>
          <w:sz w:val="28"/>
          <w:szCs w:val="28"/>
          <w:lang w:val="uk-UA"/>
        </w:rPr>
        <w:t>оритетів діяльності ДПС на 2021 </w:t>
      </w:r>
      <w:r w:rsidR="00C73AC2" w:rsidRPr="00107142">
        <w:rPr>
          <w:sz w:val="28"/>
          <w:szCs w:val="28"/>
          <w:lang w:val="uk-UA"/>
        </w:rPr>
        <w:t>рік щодо протидії ухиленн</w:t>
      </w:r>
      <w:r w:rsidR="00EC0992" w:rsidRPr="00107142">
        <w:rPr>
          <w:sz w:val="28"/>
          <w:szCs w:val="28"/>
          <w:lang w:val="uk-UA"/>
        </w:rPr>
        <w:t>ю</w:t>
      </w:r>
      <w:r w:rsidR="00C73AC2" w:rsidRPr="00107142">
        <w:rPr>
          <w:sz w:val="28"/>
          <w:szCs w:val="28"/>
          <w:lang w:val="uk-UA"/>
        </w:rPr>
        <w:t xml:space="preserve"> від оподаткування шляхом ефективного управління ризиками та підвищення аналітичної спроможності</w:t>
      </w:r>
      <w:r w:rsidR="00FF5FA1" w:rsidRPr="00107142">
        <w:rPr>
          <w:sz w:val="28"/>
          <w:szCs w:val="28"/>
          <w:lang w:val="uk-UA"/>
        </w:rPr>
        <w:t xml:space="preserve">, </w:t>
      </w:r>
      <w:r w:rsidRPr="00107142">
        <w:rPr>
          <w:sz w:val="28"/>
          <w:szCs w:val="28"/>
          <w:lang w:val="uk-UA"/>
        </w:rPr>
        <w:t>у зв’язку з</w:t>
      </w:r>
      <w:r w:rsidR="00C66B80" w:rsidRPr="00107142">
        <w:rPr>
          <w:sz w:val="28"/>
          <w:szCs w:val="28"/>
          <w:lang w:val="uk-UA"/>
        </w:rPr>
        <w:t>і</w:t>
      </w:r>
      <w:r w:rsidRPr="00107142">
        <w:rPr>
          <w:sz w:val="28"/>
          <w:szCs w:val="28"/>
          <w:lang w:val="uk-UA"/>
        </w:rPr>
        <w:t xml:space="preserve"> змінами, внесеними наказом Міністерства фінансів України від 02.12.2020 № 734 «Про внесення змін до деяких нормативно-правових актів Міністерства фінансів України», які набрали чинності з 01.03.2021, зокрема до </w:t>
      </w:r>
      <w:r w:rsidR="00B94FAF" w:rsidRPr="00107142">
        <w:rPr>
          <w:sz w:val="28"/>
          <w:szCs w:val="28"/>
          <w:lang w:val="uk-UA"/>
        </w:rPr>
        <w:t xml:space="preserve">Форми </w:t>
      </w:r>
      <w:r w:rsidRPr="00107142">
        <w:rPr>
          <w:sz w:val="28"/>
          <w:szCs w:val="28"/>
          <w:lang w:val="uk-UA"/>
        </w:rPr>
        <w:t xml:space="preserve">та </w:t>
      </w:r>
      <w:r w:rsidR="00B94FAF" w:rsidRPr="00107142">
        <w:rPr>
          <w:sz w:val="28"/>
          <w:szCs w:val="28"/>
          <w:lang w:val="uk-UA"/>
        </w:rPr>
        <w:t xml:space="preserve">Порядку </w:t>
      </w:r>
      <w:r w:rsidRPr="00107142">
        <w:rPr>
          <w:sz w:val="28"/>
          <w:szCs w:val="28"/>
          <w:lang w:val="uk-UA"/>
        </w:rPr>
        <w:t xml:space="preserve">заповнення і подання податкової звітності з податку на додану </w:t>
      </w:r>
      <w:r w:rsidR="006208AF">
        <w:rPr>
          <w:sz w:val="28"/>
          <w:szCs w:val="28"/>
          <w:lang w:val="uk-UA"/>
        </w:rPr>
        <w:br/>
      </w:r>
      <w:r w:rsidR="006208AF">
        <w:rPr>
          <w:sz w:val="28"/>
          <w:szCs w:val="28"/>
          <w:lang w:val="uk-UA"/>
        </w:rPr>
        <w:br/>
      </w:r>
      <w:r w:rsidR="006208AF">
        <w:rPr>
          <w:sz w:val="28"/>
          <w:szCs w:val="28"/>
          <w:lang w:val="uk-UA"/>
        </w:rPr>
        <w:br/>
      </w:r>
      <w:r w:rsidR="006208AF">
        <w:rPr>
          <w:sz w:val="28"/>
          <w:szCs w:val="28"/>
          <w:lang w:val="uk-UA"/>
        </w:rPr>
        <w:lastRenderedPageBreak/>
        <w:br/>
      </w:r>
      <w:r w:rsidRPr="00107142">
        <w:rPr>
          <w:sz w:val="28"/>
          <w:szCs w:val="28"/>
          <w:lang w:val="uk-UA"/>
        </w:rPr>
        <w:t>вартість, затверджен</w:t>
      </w:r>
      <w:r w:rsidR="00D71F78" w:rsidRPr="00107142">
        <w:rPr>
          <w:sz w:val="28"/>
          <w:szCs w:val="28"/>
          <w:lang w:val="uk-UA"/>
        </w:rPr>
        <w:t>их</w:t>
      </w:r>
      <w:r w:rsidRPr="00107142">
        <w:rPr>
          <w:sz w:val="28"/>
          <w:szCs w:val="28"/>
          <w:lang w:val="uk-UA"/>
        </w:rPr>
        <w:t xml:space="preserve"> наказом Міністерства фінансів України від 28.01.2016 № 21, </w:t>
      </w:r>
      <w:r w:rsidR="00FF5FA1" w:rsidRPr="00107142">
        <w:rPr>
          <w:sz w:val="28"/>
          <w:szCs w:val="28"/>
          <w:lang w:val="uk-UA"/>
        </w:rPr>
        <w:t>та відповідно до положень постанови Кабінету Міністрів України від</w:t>
      </w:r>
      <w:r w:rsidR="00D71F78" w:rsidRPr="00107142">
        <w:rPr>
          <w:sz w:val="28"/>
          <w:szCs w:val="28"/>
          <w:lang w:val="uk-UA"/>
        </w:rPr>
        <w:t> </w:t>
      </w:r>
      <w:r w:rsidR="00FF5FA1" w:rsidRPr="00107142">
        <w:rPr>
          <w:sz w:val="28"/>
          <w:szCs w:val="28"/>
          <w:lang w:val="uk-UA"/>
        </w:rPr>
        <w:t>11</w:t>
      </w:r>
      <w:r w:rsidR="00D71F78" w:rsidRPr="00107142">
        <w:rPr>
          <w:sz w:val="28"/>
          <w:szCs w:val="28"/>
          <w:lang w:val="uk-UA"/>
        </w:rPr>
        <w:t> </w:t>
      </w:r>
      <w:r w:rsidR="00FF5FA1" w:rsidRPr="00107142">
        <w:rPr>
          <w:sz w:val="28"/>
          <w:szCs w:val="28"/>
          <w:lang w:val="uk-UA"/>
        </w:rPr>
        <w:t>грудня 2019 року №</w:t>
      </w:r>
      <w:r w:rsidR="003B4DE0" w:rsidRPr="00107142">
        <w:rPr>
          <w:sz w:val="28"/>
          <w:szCs w:val="28"/>
          <w:lang w:val="uk-UA"/>
        </w:rPr>
        <w:t> </w:t>
      </w:r>
      <w:r w:rsidR="00FF5FA1" w:rsidRPr="00107142">
        <w:rPr>
          <w:sz w:val="28"/>
          <w:szCs w:val="28"/>
          <w:lang w:val="uk-UA"/>
        </w:rPr>
        <w:t xml:space="preserve">1165 «Про затвердження порядків з питань зупинення реєстрації податкової накладної/розрахунку коригування в Єдиному реєстрі податкових накладних» </w:t>
      </w:r>
      <w:r w:rsidR="00C73AC2" w:rsidRPr="00107142">
        <w:rPr>
          <w:sz w:val="28"/>
          <w:szCs w:val="28"/>
          <w:lang w:val="uk-UA"/>
        </w:rPr>
        <w:t>виникла необхідність удосконалення критерії</w:t>
      </w:r>
      <w:r w:rsidR="00EC0992" w:rsidRPr="00107142">
        <w:rPr>
          <w:sz w:val="28"/>
          <w:szCs w:val="28"/>
          <w:lang w:val="uk-UA"/>
        </w:rPr>
        <w:t>в</w:t>
      </w:r>
      <w:r w:rsidR="00C73AC2" w:rsidRPr="00107142">
        <w:rPr>
          <w:sz w:val="28"/>
          <w:szCs w:val="28"/>
          <w:lang w:val="uk-UA"/>
        </w:rPr>
        <w:t xml:space="preserve"> ризиковості від провадження господарської діяльності платників податків.</w:t>
      </w:r>
    </w:p>
    <w:p w:rsidR="00C73AC2" w:rsidRPr="007F3A44" w:rsidRDefault="00C73AC2" w:rsidP="00107142">
      <w:pPr>
        <w:ind w:firstLine="567"/>
        <w:jc w:val="both"/>
        <w:rPr>
          <w:sz w:val="28"/>
          <w:szCs w:val="28"/>
          <w:lang w:val="uk-UA"/>
        </w:rPr>
      </w:pPr>
    </w:p>
    <w:p w:rsidR="00C73AC2" w:rsidRPr="00107142" w:rsidRDefault="00C73AC2" w:rsidP="00107142">
      <w:pPr>
        <w:ind w:firstLine="567"/>
        <w:jc w:val="both"/>
        <w:rPr>
          <w:b/>
          <w:sz w:val="28"/>
          <w:szCs w:val="28"/>
          <w:lang w:val="uk-UA"/>
        </w:rPr>
      </w:pPr>
      <w:r w:rsidRPr="00107142">
        <w:rPr>
          <w:b/>
          <w:sz w:val="28"/>
          <w:szCs w:val="28"/>
          <w:lang w:val="uk-UA"/>
        </w:rPr>
        <w:t>3. </w:t>
      </w:r>
      <w:r w:rsidR="00175871" w:rsidRPr="00107142">
        <w:rPr>
          <w:b/>
          <w:sz w:val="28"/>
          <w:szCs w:val="28"/>
          <w:lang w:val="uk-UA"/>
        </w:rPr>
        <w:t xml:space="preserve">Основні положення </w:t>
      </w:r>
      <w:proofErr w:type="spellStart"/>
      <w:r w:rsidR="00175871" w:rsidRPr="00107142">
        <w:rPr>
          <w:b/>
          <w:sz w:val="28"/>
          <w:szCs w:val="28"/>
          <w:lang w:val="uk-UA"/>
        </w:rPr>
        <w:t>про</w:t>
      </w:r>
      <w:r w:rsidR="006208AF">
        <w:rPr>
          <w:b/>
          <w:sz w:val="28"/>
          <w:szCs w:val="28"/>
          <w:lang w:val="uk-UA"/>
        </w:rPr>
        <w:t>є</w:t>
      </w:r>
      <w:r w:rsidR="00175871" w:rsidRPr="00107142">
        <w:rPr>
          <w:b/>
          <w:sz w:val="28"/>
          <w:szCs w:val="28"/>
          <w:lang w:val="uk-UA"/>
        </w:rPr>
        <w:t>кту</w:t>
      </w:r>
      <w:proofErr w:type="spellEnd"/>
      <w:r w:rsidR="00175871" w:rsidRPr="00107142">
        <w:rPr>
          <w:b/>
          <w:sz w:val="28"/>
          <w:szCs w:val="28"/>
          <w:lang w:val="uk-UA"/>
        </w:rPr>
        <w:t xml:space="preserve"> </w:t>
      </w:r>
      <w:proofErr w:type="spellStart"/>
      <w:r w:rsidR="00175871" w:rsidRPr="00107142">
        <w:rPr>
          <w:b/>
          <w:sz w:val="28"/>
          <w:szCs w:val="28"/>
          <w:lang w:val="uk-UA"/>
        </w:rPr>
        <w:t>акта</w:t>
      </w:r>
      <w:proofErr w:type="spellEnd"/>
    </w:p>
    <w:p w:rsidR="00175871" w:rsidRPr="00EF6097" w:rsidRDefault="003B4DE0" w:rsidP="00107142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EF6097">
        <w:rPr>
          <w:sz w:val="28"/>
          <w:szCs w:val="28"/>
          <w:lang w:val="uk-UA"/>
        </w:rPr>
        <w:t>Про</w:t>
      </w:r>
      <w:r w:rsidR="006208AF">
        <w:rPr>
          <w:sz w:val="28"/>
          <w:szCs w:val="28"/>
          <w:lang w:val="uk-UA"/>
        </w:rPr>
        <w:t>є</w:t>
      </w:r>
      <w:r w:rsidR="00175871" w:rsidRPr="00EF6097">
        <w:rPr>
          <w:sz w:val="28"/>
          <w:szCs w:val="28"/>
          <w:lang w:val="uk-UA"/>
        </w:rPr>
        <w:t>кт</w:t>
      </w:r>
      <w:r w:rsidR="00613576" w:rsidRPr="00EF6097">
        <w:rPr>
          <w:sz w:val="28"/>
          <w:szCs w:val="28"/>
          <w:lang w:val="uk-UA"/>
        </w:rPr>
        <w:t>ом</w:t>
      </w:r>
      <w:proofErr w:type="spellEnd"/>
      <w:r w:rsidR="00175871" w:rsidRPr="00EF6097">
        <w:rPr>
          <w:sz w:val="28"/>
          <w:szCs w:val="28"/>
          <w:lang w:val="uk-UA"/>
        </w:rPr>
        <w:t xml:space="preserve"> наказу передбачено </w:t>
      </w:r>
      <w:r w:rsidR="00613576" w:rsidRPr="00EF6097">
        <w:rPr>
          <w:sz w:val="28"/>
          <w:szCs w:val="28"/>
          <w:lang w:val="uk-UA"/>
        </w:rPr>
        <w:t>змін</w:t>
      </w:r>
      <w:r w:rsidR="00B94FAF" w:rsidRPr="00EF6097">
        <w:rPr>
          <w:sz w:val="28"/>
          <w:szCs w:val="28"/>
          <w:lang w:val="uk-UA"/>
        </w:rPr>
        <w:t>у</w:t>
      </w:r>
      <w:r w:rsidR="00613576" w:rsidRPr="00EF6097">
        <w:rPr>
          <w:sz w:val="28"/>
          <w:szCs w:val="28"/>
          <w:lang w:val="uk-UA"/>
        </w:rPr>
        <w:t xml:space="preserve"> назви територіального органу ДПС «Офіс великих платників податків</w:t>
      </w:r>
      <w:r w:rsidR="008A3FF8" w:rsidRPr="00EF6097">
        <w:rPr>
          <w:sz w:val="28"/>
          <w:szCs w:val="28"/>
          <w:lang w:val="uk-UA"/>
        </w:rPr>
        <w:t xml:space="preserve"> ДПС</w:t>
      </w:r>
      <w:r w:rsidR="00613576" w:rsidRPr="00EF6097">
        <w:rPr>
          <w:sz w:val="28"/>
          <w:szCs w:val="28"/>
          <w:lang w:val="uk-UA"/>
        </w:rPr>
        <w:t xml:space="preserve">» на </w:t>
      </w:r>
      <w:r w:rsidR="00B94FAF" w:rsidRPr="00EF6097">
        <w:rPr>
          <w:sz w:val="28"/>
          <w:szCs w:val="28"/>
          <w:lang w:val="uk-UA"/>
        </w:rPr>
        <w:t xml:space="preserve">назву </w:t>
      </w:r>
      <w:r w:rsidR="00613576" w:rsidRPr="00EF6097">
        <w:rPr>
          <w:sz w:val="28"/>
          <w:szCs w:val="28"/>
          <w:lang w:val="uk-UA"/>
        </w:rPr>
        <w:t xml:space="preserve">«міжрегіональні управління ДПС по роботі з великими платниками податків» </w:t>
      </w:r>
      <w:r w:rsidR="00EA0615" w:rsidRPr="00EF6097">
        <w:rPr>
          <w:sz w:val="28"/>
          <w:szCs w:val="28"/>
          <w:lang w:val="uk-UA"/>
        </w:rPr>
        <w:t>з метою належного функціонування міжрегіональних управлінь ДПС по роботі з великими платниками податків у частині формування плану-графіка проведення документальних планових перевірок платників податків</w:t>
      </w:r>
      <w:r w:rsidR="00613576" w:rsidRPr="00EF6097">
        <w:rPr>
          <w:sz w:val="28"/>
          <w:szCs w:val="28"/>
          <w:lang w:val="uk-UA"/>
        </w:rPr>
        <w:t>.</w:t>
      </w:r>
      <w:r w:rsidR="00EA0615" w:rsidRPr="00EF6097">
        <w:rPr>
          <w:sz w:val="28"/>
          <w:szCs w:val="28"/>
          <w:lang w:val="uk-UA"/>
        </w:rPr>
        <w:t xml:space="preserve"> </w:t>
      </w:r>
    </w:p>
    <w:p w:rsidR="00EA0615" w:rsidRPr="00EF6097" w:rsidRDefault="00EA0615" w:rsidP="00107142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 xml:space="preserve">Також </w:t>
      </w:r>
      <w:proofErr w:type="spellStart"/>
      <w:r w:rsidR="00B94FAF" w:rsidRPr="00EF6097">
        <w:rPr>
          <w:sz w:val="28"/>
          <w:szCs w:val="28"/>
          <w:lang w:val="uk-UA"/>
        </w:rPr>
        <w:t>п</w:t>
      </w:r>
      <w:r w:rsidRPr="00EF6097">
        <w:rPr>
          <w:sz w:val="28"/>
          <w:szCs w:val="28"/>
          <w:lang w:val="uk-UA"/>
        </w:rPr>
        <w:t>ро</w:t>
      </w:r>
      <w:r w:rsidR="006208AF">
        <w:rPr>
          <w:sz w:val="28"/>
          <w:szCs w:val="28"/>
          <w:lang w:val="uk-UA"/>
        </w:rPr>
        <w:t>є</w:t>
      </w:r>
      <w:r w:rsidRPr="00EF6097">
        <w:rPr>
          <w:sz w:val="28"/>
          <w:szCs w:val="28"/>
          <w:lang w:val="uk-UA"/>
        </w:rPr>
        <w:t>ктом</w:t>
      </w:r>
      <w:proofErr w:type="spellEnd"/>
      <w:r w:rsidRPr="00EF6097">
        <w:rPr>
          <w:sz w:val="28"/>
          <w:szCs w:val="28"/>
          <w:lang w:val="uk-UA"/>
        </w:rPr>
        <w:t xml:space="preserve"> наказу удосконалюються критерії ризик</w:t>
      </w:r>
      <w:r w:rsidR="00BA264C" w:rsidRPr="00EF6097">
        <w:rPr>
          <w:sz w:val="28"/>
          <w:szCs w:val="28"/>
          <w:lang w:val="uk-UA"/>
        </w:rPr>
        <w:t>овості</w:t>
      </w:r>
      <w:r w:rsidRPr="00EF6097">
        <w:rPr>
          <w:sz w:val="28"/>
          <w:szCs w:val="28"/>
          <w:lang w:val="uk-UA"/>
        </w:rPr>
        <w:t xml:space="preserve"> від провадження господарської діяльності платників податків.</w:t>
      </w:r>
    </w:p>
    <w:p w:rsidR="00175871" w:rsidRPr="00EF6097" w:rsidRDefault="00EA0615" w:rsidP="00107142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В</w:t>
      </w:r>
      <w:r w:rsidR="00175871" w:rsidRPr="00EF6097">
        <w:rPr>
          <w:sz w:val="28"/>
          <w:szCs w:val="28"/>
          <w:lang w:val="uk-UA"/>
        </w:rPr>
        <w:t>икористання критеріїв ризику дає змогу задіяти механізм першочергового реагування на ті підприємства, щодо яких існує велика вірогідність недоплати або приховування об’єкта оподаткування, а також сприяє зменшенню кількості суб’єктів господарювання, що перевіряються.</w:t>
      </w:r>
    </w:p>
    <w:p w:rsidR="00175871" w:rsidRPr="00EF6097" w:rsidRDefault="00175871" w:rsidP="00107142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Система ризиків та процес відбору платників податків для проведення документальних планових перевірок неодноразово вдосконалювалися з метою підвищення точності відбору до контролю найбільш ризикових суб’єктів господарювання.</w:t>
      </w:r>
    </w:p>
    <w:p w:rsidR="00EB6EDD" w:rsidRPr="00EF6097" w:rsidRDefault="00D71F78" w:rsidP="00107142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У</w:t>
      </w:r>
      <w:r w:rsidR="003B4DE0" w:rsidRPr="00EF6097">
        <w:rPr>
          <w:sz w:val="28"/>
          <w:szCs w:val="28"/>
          <w:lang w:val="uk-UA"/>
        </w:rPr>
        <w:t xml:space="preserve"> ДПС</w:t>
      </w:r>
      <w:r w:rsidR="00EB6EDD" w:rsidRPr="00EF6097">
        <w:rPr>
          <w:sz w:val="28"/>
          <w:szCs w:val="28"/>
          <w:lang w:val="uk-UA"/>
        </w:rPr>
        <w:t xml:space="preserve"> працює робоча група з удосконалення системи </w:t>
      </w:r>
      <w:proofErr w:type="spellStart"/>
      <w:r w:rsidR="00EB6EDD" w:rsidRPr="00EF6097">
        <w:rPr>
          <w:sz w:val="28"/>
          <w:szCs w:val="28"/>
          <w:lang w:val="uk-UA"/>
        </w:rPr>
        <w:t>ризикоорієнтованого</w:t>
      </w:r>
      <w:proofErr w:type="spellEnd"/>
      <w:r w:rsidR="00EB6EDD" w:rsidRPr="00EF6097">
        <w:rPr>
          <w:sz w:val="28"/>
          <w:szCs w:val="28"/>
          <w:lang w:val="uk-UA"/>
        </w:rPr>
        <w:t xml:space="preserve"> податкового контролю, склад якої затверджено розпорядженням ДПС від 06.11.2019 № 2-р (у редакції  розпорядження ДПС від</w:t>
      </w:r>
      <w:r w:rsidRPr="00EF6097">
        <w:rPr>
          <w:sz w:val="28"/>
          <w:szCs w:val="28"/>
          <w:lang w:val="uk-UA"/>
        </w:rPr>
        <w:t xml:space="preserve">  </w:t>
      </w:r>
      <w:r w:rsidR="00EB6EDD" w:rsidRPr="00EF6097">
        <w:rPr>
          <w:sz w:val="28"/>
          <w:szCs w:val="28"/>
          <w:lang w:val="uk-UA"/>
        </w:rPr>
        <w:t>01.02.2021 № 1-р</w:t>
      </w:r>
      <w:r w:rsidR="003B4DE0" w:rsidRPr="00EF6097">
        <w:rPr>
          <w:sz w:val="28"/>
          <w:szCs w:val="28"/>
          <w:lang w:val="uk-UA"/>
        </w:rPr>
        <w:t>)</w:t>
      </w:r>
      <w:r w:rsidR="00EB6EDD" w:rsidRPr="00EF6097">
        <w:rPr>
          <w:sz w:val="28"/>
          <w:szCs w:val="28"/>
          <w:lang w:val="uk-UA"/>
        </w:rPr>
        <w:t xml:space="preserve"> (далі – Робоча група)</w:t>
      </w:r>
      <w:r w:rsidRPr="00EF6097">
        <w:rPr>
          <w:sz w:val="28"/>
          <w:szCs w:val="28"/>
          <w:lang w:val="uk-UA"/>
        </w:rPr>
        <w:t>,</w:t>
      </w:r>
      <w:r w:rsidR="00EB6EDD" w:rsidRPr="00EF6097">
        <w:rPr>
          <w:sz w:val="28"/>
          <w:szCs w:val="28"/>
          <w:lang w:val="uk-UA"/>
        </w:rPr>
        <w:t xml:space="preserve"> метою якої є забезпечення організації роботи щодо удосконалення системи </w:t>
      </w:r>
      <w:proofErr w:type="spellStart"/>
      <w:r w:rsidR="00EB6EDD" w:rsidRPr="00EF6097">
        <w:rPr>
          <w:sz w:val="28"/>
          <w:szCs w:val="28"/>
          <w:lang w:val="uk-UA"/>
        </w:rPr>
        <w:t>ризикоорієнтованого</w:t>
      </w:r>
      <w:proofErr w:type="spellEnd"/>
      <w:r w:rsidR="00EB6EDD" w:rsidRPr="00EF6097">
        <w:rPr>
          <w:sz w:val="28"/>
          <w:szCs w:val="28"/>
          <w:lang w:val="uk-UA"/>
        </w:rPr>
        <w:t xml:space="preserve"> податкового контролю, а саме: моніторинг </w:t>
      </w:r>
      <w:r w:rsidR="006208AF">
        <w:rPr>
          <w:sz w:val="28"/>
          <w:szCs w:val="28"/>
          <w:lang w:val="uk-UA"/>
        </w:rPr>
        <w:t>наявних</w:t>
      </w:r>
      <w:r w:rsidR="00EB6EDD" w:rsidRPr="00EF6097">
        <w:rPr>
          <w:sz w:val="28"/>
          <w:szCs w:val="28"/>
          <w:lang w:val="uk-UA"/>
        </w:rPr>
        <w:t xml:space="preserve"> критеріїв ризику діяльності платників податків; розробка нових критеріїв ризику діяльності платників податків; внесення змін до </w:t>
      </w:r>
      <w:r w:rsidR="006208AF">
        <w:rPr>
          <w:sz w:val="28"/>
          <w:szCs w:val="28"/>
          <w:lang w:val="uk-UA"/>
        </w:rPr>
        <w:t>наявних</w:t>
      </w:r>
      <w:r w:rsidR="00EB6EDD" w:rsidRPr="00EF6097">
        <w:rPr>
          <w:sz w:val="28"/>
          <w:szCs w:val="28"/>
          <w:lang w:val="uk-UA"/>
        </w:rPr>
        <w:t xml:space="preserve"> переліків податкових ризиків.</w:t>
      </w:r>
    </w:p>
    <w:p w:rsidR="00D4197F" w:rsidRPr="00EF6097" w:rsidRDefault="00D4197F" w:rsidP="00107142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Пропозиції щодо оновлення переліків критеріїв ризику ґрунтувалис</w:t>
      </w:r>
      <w:r w:rsidR="006208AF">
        <w:rPr>
          <w:sz w:val="28"/>
          <w:szCs w:val="28"/>
          <w:lang w:val="uk-UA"/>
        </w:rPr>
        <w:t>я</w:t>
      </w:r>
      <w:r w:rsidRPr="00EF6097">
        <w:rPr>
          <w:sz w:val="28"/>
          <w:szCs w:val="28"/>
          <w:lang w:val="uk-UA"/>
        </w:rPr>
        <w:t xml:space="preserve"> на досвіді та аналізі виявлених порушень при проведенні контрольно-перевірочних заходів фахівцями органів ДПС. </w:t>
      </w:r>
    </w:p>
    <w:p w:rsidR="00D4197F" w:rsidRPr="00EF6097" w:rsidRDefault="00D4197F" w:rsidP="00107142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 xml:space="preserve">Необхідність участі критеріїв ризику у процесі відбору платників податків до планових перевірок обумовлено практикою та висновками документальних перевірок, аналізом встановлених порушень податкового законодавства та іншого законодавства, контроль за </w:t>
      </w:r>
      <w:r w:rsidR="006208AF">
        <w:rPr>
          <w:sz w:val="28"/>
          <w:szCs w:val="28"/>
          <w:lang w:val="uk-UA"/>
        </w:rPr>
        <w:t xml:space="preserve">дотриманням </w:t>
      </w:r>
      <w:r w:rsidRPr="00EF6097">
        <w:rPr>
          <w:sz w:val="28"/>
          <w:szCs w:val="28"/>
          <w:lang w:val="uk-UA"/>
        </w:rPr>
        <w:t>як</w:t>
      </w:r>
      <w:r w:rsidR="006208AF">
        <w:rPr>
          <w:sz w:val="28"/>
          <w:szCs w:val="28"/>
          <w:lang w:val="uk-UA"/>
        </w:rPr>
        <w:t>ого</w:t>
      </w:r>
      <w:r w:rsidRPr="00EF6097">
        <w:rPr>
          <w:sz w:val="28"/>
          <w:szCs w:val="28"/>
          <w:lang w:val="uk-UA"/>
        </w:rPr>
        <w:t xml:space="preserve"> покладено на контролюючі органи.</w:t>
      </w:r>
    </w:p>
    <w:p w:rsidR="00613576" w:rsidRPr="00EF6097" w:rsidRDefault="00613576" w:rsidP="00107142">
      <w:pPr>
        <w:pStyle w:val="ad"/>
        <w:tabs>
          <w:tab w:val="left" w:pos="900"/>
        </w:tabs>
        <w:spacing w:after="0"/>
        <w:ind w:left="0" w:firstLine="567"/>
        <w:jc w:val="both"/>
        <w:outlineLvl w:val="0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Зокрема</w:t>
      </w:r>
      <w:r w:rsidR="00C90635" w:rsidRPr="00EF6097">
        <w:rPr>
          <w:sz w:val="28"/>
          <w:szCs w:val="28"/>
          <w:lang w:val="uk-UA"/>
        </w:rPr>
        <w:t xml:space="preserve"> у зв’язку з</w:t>
      </w:r>
      <w:r w:rsidR="00D71F78" w:rsidRPr="00EF6097">
        <w:rPr>
          <w:sz w:val="28"/>
          <w:szCs w:val="28"/>
          <w:lang w:val="uk-UA"/>
        </w:rPr>
        <w:t>і</w:t>
      </w:r>
      <w:r w:rsidR="00C90635" w:rsidRPr="00EF6097">
        <w:rPr>
          <w:sz w:val="28"/>
          <w:szCs w:val="28"/>
          <w:lang w:val="uk-UA"/>
        </w:rPr>
        <w:t xml:space="preserve"> змінами </w:t>
      </w:r>
      <w:r w:rsidR="00B94FAF" w:rsidRPr="00EF6097">
        <w:rPr>
          <w:sz w:val="28"/>
          <w:szCs w:val="28"/>
          <w:lang w:val="uk-UA"/>
        </w:rPr>
        <w:t xml:space="preserve">Форми </w:t>
      </w:r>
      <w:r w:rsidR="00C90635" w:rsidRPr="00EF6097">
        <w:rPr>
          <w:sz w:val="28"/>
          <w:szCs w:val="28"/>
          <w:lang w:val="uk-UA"/>
        </w:rPr>
        <w:t xml:space="preserve">та </w:t>
      </w:r>
      <w:r w:rsidR="00B94FAF" w:rsidRPr="00EF6097">
        <w:rPr>
          <w:sz w:val="28"/>
          <w:szCs w:val="28"/>
          <w:lang w:val="uk-UA"/>
        </w:rPr>
        <w:t xml:space="preserve">Порядку </w:t>
      </w:r>
      <w:r w:rsidR="00C90635" w:rsidRPr="00EF6097">
        <w:rPr>
          <w:sz w:val="28"/>
          <w:szCs w:val="28"/>
          <w:lang w:val="uk-UA"/>
        </w:rPr>
        <w:t xml:space="preserve">заповнення і подання податкової звітності з податку на додану вартість у частині </w:t>
      </w:r>
      <w:r w:rsidR="00BA264C" w:rsidRPr="00EF6097">
        <w:rPr>
          <w:sz w:val="28"/>
          <w:szCs w:val="28"/>
          <w:lang w:val="uk-UA"/>
        </w:rPr>
        <w:t xml:space="preserve">скасування </w:t>
      </w:r>
      <w:r w:rsidR="00C90635" w:rsidRPr="00EF6097">
        <w:rPr>
          <w:sz w:val="28"/>
          <w:szCs w:val="28"/>
          <w:lang w:val="uk-UA"/>
        </w:rPr>
        <w:t>додатк</w:t>
      </w:r>
      <w:r w:rsidR="00D71F78" w:rsidRPr="00EF6097">
        <w:rPr>
          <w:sz w:val="28"/>
          <w:szCs w:val="28"/>
          <w:lang w:val="uk-UA"/>
        </w:rPr>
        <w:t>а </w:t>
      </w:r>
      <w:r w:rsidR="00C90635" w:rsidRPr="00EF6097">
        <w:rPr>
          <w:sz w:val="28"/>
          <w:szCs w:val="28"/>
          <w:lang w:val="uk-UA"/>
        </w:rPr>
        <w:t xml:space="preserve">5 до </w:t>
      </w:r>
      <w:r w:rsidR="00B94FAF" w:rsidRPr="00EF6097">
        <w:rPr>
          <w:sz w:val="28"/>
          <w:szCs w:val="28"/>
          <w:lang w:val="uk-UA"/>
        </w:rPr>
        <w:t xml:space="preserve">Декларації </w:t>
      </w:r>
      <w:r w:rsidR="00C90635" w:rsidRPr="00EF6097">
        <w:rPr>
          <w:sz w:val="28"/>
          <w:szCs w:val="28"/>
          <w:lang w:val="uk-UA"/>
        </w:rPr>
        <w:t>з податку на додану вартість</w:t>
      </w:r>
      <w:r w:rsidR="00BA264C" w:rsidRPr="00EF6097">
        <w:rPr>
          <w:sz w:val="28"/>
          <w:szCs w:val="28"/>
          <w:lang w:val="uk-UA"/>
        </w:rPr>
        <w:t xml:space="preserve"> </w:t>
      </w:r>
      <w:r w:rsidRPr="00EF6097">
        <w:rPr>
          <w:sz w:val="28"/>
          <w:szCs w:val="28"/>
          <w:lang w:val="uk-UA"/>
        </w:rPr>
        <w:t xml:space="preserve">з переліку критеріїв відбору платників податків – юридичних </w:t>
      </w:r>
      <w:r w:rsidR="003B4DE0" w:rsidRPr="00EF6097">
        <w:rPr>
          <w:sz w:val="28"/>
          <w:szCs w:val="28"/>
          <w:lang w:val="uk-UA"/>
        </w:rPr>
        <w:t>осіб високого ступеня</w:t>
      </w:r>
      <w:r w:rsidRPr="00EF6097">
        <w:rPr>
          <w:sz w:val="28"/>
          <w:szCs w:val="28"/>
          <w:lang w:val="uk-UA"/>
        </w:rPr>
        <w:t xml:space="preserve"> </w:t>
      </w:r>
      <w:r w:rsidR="00B4055F" w:rsidRPr="00EF6097">
        <w:rPr>
          <w:sz w:val="28"/>
          <w:szCs w:val="28"/>
          <w:lang w:val="uk-UA"/>
        </w:rPr>
        <w:t xml:space="preserve">та </w:t>
      </w:r>
      <w:r w:rsidR="00B4055F" w:rsidRPr="00EF6097">
        <w:rPr>
          <w:bCs/>
          <w:sz w:val="28"/>
          <w:szCs w:val="28"/>
          <w:lang w:val="uk-UA"/>
        </w:rPr>
        <w:t>критері</w:t>
      </w:r>
      <w:r w:rsidR="003B4DE0" w:rsidRPr="00EF6097">
        <w:rPr>
          <w:bCs/>
          <w:sz w:val="28"/>
          <w:szCs w:val="28"/>
          <w:lang w:val="uk-UA"/>
        </w:rPr>
        <w:t>ї</w:t>
      </w:r>
      <w:r w:rsidR="00B4055F" w:rsidRPr="00EF6097">
        <w:rPr>
          <w:bCs/>
          <w:sz w:val="28"/>
          <w:szCs w:val="28"/>
          <w:lang w:val="uk-UA"/>
        </w:rPr>
        <w:t xml:space="preserve">в </w:t>
      </w:r>
      <w:r w:rsidR="00B4055F" w:rsidRPr="00EF6097">
        <w:rPr>
          <w:bCs/>
          <w:sz w:val="28"/>
          <w:szCs w:val="28"/>
          <w:lang w:val="uk-UA"/>
        </w:rPr>
        <w:lastRenderedPageBreak/>
        <w:t xml:space="preserve">відбору платників податків – </w:t>
      </w:r>
      <w:r w:rsidR="00B4055F" w:rsidRPr="00EF6097">
        <w:rPr>
          <w:bCs/>
          <w:snapToGrid w:val="0"/>
          <w:sz w:val="28"/>
          <w:szCs w:val="28"/>
          <w:lang w:val="uk-UA"/>
        </w:rPr>
        <w:t xml:space="preserve">постійних </w:t>
      </w:r>
      <w:r w:rsidR="00B4055F" w:rsidRPr="00EF6097">
        <w:rPr>
          <w:sz w:val="28"/>
          <w:szCs w:val="28"/>
          <w:lang w:val="uk-UA"/>
        </w:rPr>
        <w:t xml:space="preserve">представництв та представництв нерезидентів </w:t>
      </w:r>
      <w:r w:rsidRPr="00EF6097">
        <w:rPr>
          <w:sz w:val="28"/>
          <w:szCs w:val="28"/>
          <w:lang w:val="uk-UA"/>
        </w:rPr>
        <w:t>виключається</w:t>
      </w:r>
      <w:r w:rsidR="00B94FAF" w:rsidRPr="00EF6097">
        <w:rPr>
          <w:sz w:val="28"/>
          <w:szCs w:val="28"/>
          <w:lang w:val="uk-UA"/>
        </w:rPr>
        <w:t xml:space="preserve"> </w:t>
      </w:r>
      <w:r w:rsidRPr="00EF6097">
        <w:rPr>
          <w:sz w:val="28"/>
          <w:szCs w:val="28"/>
          <w:lang w:val="uk-UA"/>
        </w:rPr>
        <w:t>критерій ризику «</w:t>
      </w:r>
      <w:r w:rsidRPr="00EF6097">
        <w:rPr>
          <w:bCs/>
          <w:sz w:val="28"/>
          <w:szCs w:val="28"/>
          <w:lang w:val="uk-UA"/>
        </w:rPr>
        <w:t xml:space="preserve">наявність розбіжностей у платника податків згідно із системою автоматизованого </w:t>
      </w:r>
      <w:r w:rsidR="006208AF">
        <w:rPr>
          <w:bCs/>
          <w:sz w:val="28"/>
          <w:szCs w:val="28"/>
          <w:lang w:val="uk-UA"/>
        </w:rPr>
        <w:t>зі</w:t>
      </w:r>
      <w:r w:rsidRPr="00EF6097">
        <w:rPr>
          <w:bCs/>
          <w:sz w:val="28"/>
          <w:szCs w:val="28"/>
          <w:lang w:val="uk-UA"/>
        </w:rPr>
        <w:t>ставлення</w:t>
      </w:r>
      <w:r w:rsidR="006208AF">
        <w:rPr>
          <w:bCs/>
          <w:sz w:val="28"/>
          <w:szCs w:val="28"/>
          <w:lang w:val="uk-UA"/>
        </w:rPr>
        <w:t xml:space="preserve"> </w:t>
      </w:r>
      <w:r w:rsidRPr="00EF6097">
        <w:rPr>
          <w:bCs/>
          <w:sz w:val="28"/>
          <w:szCs w:val="28"/>
          <w:lang w:val="uk-UA"/>
        </w:rPr>
        <w:t xml:space="preserve">податкового зобов’язання та податкового кредиту у розрізі контрагентів (завищення податкового кредиту) у сумі понад </w:t>
      </w:r>
      <w:r w:rsidRPr="00EF6097">
        <w:rPr>
          <w:sz w:val="28"/>
          <w:szCs w:val="28"/>
          <w:lang w:val="uk-UA"/>
        </w:rPr>
        <w:t>1 млн грн</w:t>
      </w:r>
      <w:r w:rsidR="00B94FAF" w:rsidRPr="00EF6097">
        <w:rPr>
          <w:sz w:val="28"/>
          <w:szCs w:val="28"/>
          <w:lang w:val="uk-UA"/>
        </w:rPr>
        <w:t>,</w:t>
      </w:r>
      <w:r w:rsidRPr="00EF6097">
        <w:rPr>
          <w:sz w:val="28"/>
          <w:szCs w:val="28"/>
          <w:lang w:val="uk-UA"/>
        </w:rPr>
        <w:t xml:space="preserve"> або </w:t>
      </w:r>
      <w:r w:rsidRPr="00EF6097">
        <w:rPr>
          <w:bCs/>
          <w:sz w:val="28"/>
          <w:szCs w:val="28"/>
          <w:lang w:val="uk-UA"/>
        </w:rPr>
        <w:t xml:space="preserve">понад 5 відсотків загальних обсягів податкового кредиту, але </w:t>
      </w:r>
      <w:r w:rsidRPr="00EF6097">
        <w:rPr>
          <w:sz w:val="28"/>
          <w:szCs w:val="28"/>
          <w:lang w:val="uk-UA"/>
        </w:rPr>
        <w:t>не менше ніж 100 тис. грн»</w:t>
      </w:r>
      <w:r w:rsidR="00BA264C" w:rsidRPr="00EF6097">
        <w:rPr>
          <w:sz w:val="28"/>
          <w:szCs w:val="28"/>
          <w:lang w:val="uk-UA"/>
        </w:rPr>
        <w:t xml:space="preserve"> за відсутності джерела інформації для розрахунку ризику.</w:t>
      </w:r>
    </w:p>
    <w:p w:rsidR="00B865D1" w:rsidRPr="00EF6097" w:rsidRDefault="00B865D1" w:rsidP="00107142">
      <w:pPr>
        <w:pStyle w:val="ad"/>
        <w:tabs>
          <w:tab w:val="left" w:pos="900"/>
        </w:tabs>
        <w:spacing w:after="0"/>
        <w:ind w:left="0" w:firstLine="567"/>
        <w:jc w:val="both"/>
        <w:outlineLvl w:val="0"/>
        <w:rPr>
          <w:sz w:val="28"/>
          <w:szCs w:val="28"/>
          <w:lang w:val="uk-UA"/>
        </w:rPr>
      </w:pP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Для однозначного тлумачення алгоритму розрахунку </w:t>
      </w:r>
      <w:r w:rsidRPr="00EF6097">
        <w:rPr>
          <w:sz w:val="28"/>
          <w:szCs w:val="28"/>
          <w:lang w:val="uk-UA"/>
        </w:rPr>
        <w:t>критерій відбору платників податків – юридичних осіб високого ступеня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 </w:t>
      </w:r>
      <w:r w:rsidR="006208AF">
        <w:rPr>
          <w:bCs/>
          <w:snapToGrid w:val="0"/>
          <w:color w:val="000000"/>
          <w:sz w:val="28"/>
          <w:szCs w:val="28"/>
          <w:lang w:val="uk-UA"/>
        </w:rPr>
        <w:t xml:space="preserve">текст 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«інші </w:t>
      </w:r>
      <w:r w:rsidRPr="00EF6097">
        <w:rPr>
          <w:bCs/>
          <w:i/>
          <w:snapToGrid w:val="0"/>
          <w:color w:val="000000"/>
          <w:sz w:val="28"/>
          <w:szCs w:val="28"/>
          <w:lang w:val="uk-UA"/>
        </w:rPr>
        <w:t>операційні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 витрати пе</w:t>
      </w:r>
      <w:r w:rsidRPr="00EF6097">
        <w:rPr>
          <w:sz w:val="28"/>
          <w:szCs w:val="28"/>
          <w:lang w:val="uk-UA"/>
        </w:rPr>
        <w:t xml:space="preserve">ревищують 30 відсотків загальних витрат операційної діяльності» доповнено </w:t>
      </w:r>
      <w:r w:rsidR="006208AF">
        <w:rPr>
          <w:sz w:val="28"/>
          <w:szCs w:val="28"/>
          <w:lang w:val="uk-UA"/>
        </w:rPr>
        <w:t>словом</w:t>
      </w:r>
      <w:r w:rsidRPr="00EF6097">
        <w:rPr>
          <w:sz w:val="28"/>
          <w:szCs w:val="28"/>
          <w:lang w:val="uk-UA"/>
        </w:rPr>
        <w:t xml:space="preserve"> «операційні».</w:t>
      </w:r>
    </w:p>
    <w:p w:rsidR="0036246D" w:rsidRPr="00EF6097" w:rsidRDefault="0036246D" w:rsidP="0036246D">
      <w:pPr>
        <w:tabs>
          <w:tab w:val="left" w:pos="9540"/>
        </w:tabs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 xml:space="preserve">За результатами моніторингу спрацювання </w:t>
      </w:r>
      <w:r w:rsidR="006208AF">
        <w:rPr>
          <w:sz w:val="28"/>
          <w:szCs w:val="28"/>
          <w:lang w:val="uk-UA"/>
        </w:rPr>
        <w:t>наявних</w:t>
      </w:r>
      <w:r w:rsidRPr="00EF6097">
        <w:rPr>
          <w:sz w:val="28"/>
          <w:szCs w:val="28"/>
          <w:lang w:val="uk-UA"/>
        </w:rPr>
        <w:t xml:space="preserve"> критеріїв відбору платників податків – юридичних осіб Робочою групою прийнято рішення щодо перенесення критерію «декларування експортних та/або імпортних операцій без фактичного здійснення таких операцій» з високого ступеня до критеріїв ризику середнього ступеня. </w:t>
      </w:r>
    </w:p>
    <w:p w:rsidR="0036246D" w:rsidRPr="00EF6097" w:rsidRDefault="0036246D" w:rsidP="0036246D">
      <w:pPr>
        <w:tabs>
          <w:tab w:val="left" w:pos="954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Для однозначного тлумачення алгоритму розрахунку </w:t>
      </w:r>
      <w:r w:rsidRPr="00EF6097">
        <w:rPr>
          <w:sz w:val="28"/>
          <w:szCs w:val="28"/>
          <w:lang w:val="uk-UA"/>
        </w:rPr>
        <w:t xml:space="preserve">критерію відбору платників податків – юридичних осіб високого ступеня </w:t>
      </w:r>
      <w:r w:rsidR="00F953DB">
        <w:rPr>
          <w:sz w:val="28"/>
          <w:szCs w:val="28"/>
          <w:lang w:val="uk-UA"/>
        </w:rPr>
        <w:t xml:space="preserve">текст 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>«зростання довгострокових зобов</w:t>
      </w:r>
      <w:r w:rsidR="006208AF" w:rsidRPr="007F3A44">
        <w:rPr>
          <w:bCs/>
          <w:snapToGrid w:val="0"/>
          <w:color w:val="000000"/>
          <w:sz w:val="28"/>
          <w:szCs w:val="28"/>
          <w:lang w:val="uk-UA"/>
        </w:rPr>
        <w:t>’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>язань і забезпечень</w:t>
      </w:r>
      <w:r w:rsidRPr="00EF6097">
        <w:rPr>
          <w:sz w:val="28"/>
          <w:szCs w:val="28"/>
          <w:lang w:val="uk-UA"/>
        </w:rPr>
        <w:t xml:space="preserve"> в сумі більше ніж 10 млн грн або перевищує 30 відсотків загальних обсягів постачання» змінюється на </w:t>
      </w:r>
      <w:r w:rsidR="00F953DB">
        <w:rPr>
          <w:sz w:val="28"/>
          <w:szCs w:val="28"/>
          <w:lang w:val="uk-UA"/>
        </w:rPr>
        <w:t>так</w:t>
      </w:r>
      <w:r w:rsidRPr="00EF6097">
        <w:rPr>
          <w:sz w:val="28"/>
          <w:szCs w:val="28"/>
          <w:lang w:val="uk-UA"/>
        </w:rPr>
        <w:t>ий: «</w:t>
      </w:r>
      <w:r w:rsidRPr="00EF6097">
        <w:rPr>
          <w:bCs/>
          <w:i/>
          <w:snapToGrid w:val="0"/>
          <w:color w:val="000000"/>
          <w:sz w:val="28"/>
          <w:szCs w:val="28"/>
          <w:lang w:val="uk-UA"/>
        </w:rPr>
        <w:t>су</w:t>
      </w:r>
      <w:r w:rsidRPr="00EF6097">
        <w:rPr>
          <w:i/>
          <w:sz w:val="28"/>
          <w:szCs w:val="28"/>
          <w:lang w:val="uk-UA"/>
        </w:rPr>
        <w:t>ма</w:t>
      </w:r>
      <w:r w:rsidRPr="00EF6097">
        <w:rPr>
          <w:sz w:val="28"/>
          <w:szCs w:val="28"/>
          <w:lang w:val="uk-UA"/>
        </w:rPr>
        <w:t xml:space="preserve"> довгострокових зобов’язань і забезпечень більше ніж 10 млн грн або перевищує 30 відсотків загальних обсягів постачання».</w:t>
      </w:r>
    </w:p>
    <w:p w:rsidR="00C73AC2" w:rsidRPr="00EF6097" w:rsidRDefault="00B865D1" w:rsidP="00107142">
      <w:pPr>
        <w:tabs>
          <w:tab w:val="left" w:pos="9540"/>
        </w:tabs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Д</w:t>
      </w:r>
      <w:r w:rsidR="00170C07" w:rsidRPr="00EF6097">
        <w:rPr>
          <w:sz w:val="28"/>
          <w:szCs w:val="28"/>
          <w:lang w:val="uk-UA"/>
        </w:rPr>
        <w:t>ля підвищення точності відбору до контролю найбільш ризикових суб’єктів господарювання змінюється редакція кр</w:t>
      </w:r>
      <w:r w:rsidR="006F7987" w:rsidRPr="00EF6097">
        <w:rPr>
          <w:sz w:val="28"/>
          <w:szCs w:val="28"/>
          <w:lang w:val="uk-UA"/>
        </w:rPr>
        <w:t>итерію ризику середнього ступеня</w:t>
      </w:r>
      <w:r w:rsidR="00170C07" w:rsidRPr="00EF6097">
        <w:rPr>
          <w:sz w:val="28"/>
          <w:szCs w:val="28"/>
          <w:lang w:val="uk-UA"/>
        </w:rPr>
        <w:t xml:space="preserve"> </w:t>
      </w:r>
      <w:r w:rsidR="00D4197F" w:rsidRPr="00EF6097">
        <w:rPr>
          <w:sz w:val="28"/>
          <w:szCs w:val="28"/>
          <w:lang w:val="uk-UA"/>
        </w:rPr>
        <w:t xml:space="preserve">платників податків – юридичних </w:t>
      </w:r>
      <w:r w:rsidR="006F7987" w:rsidRPr="00EF6097">
        <w:rPr>
          <w:sz w:val="28"/>
          <w:szCs w:val="28"/>
          <w:lang w:val="uk-UA"/>
        </w:rPr>
        <w:t xml:space="preserve">осіб </w:t>
      </w:r>
      <w:r w:rsidRPr="00EF6097">
        <w:rPr>
          <w:sz w:val="28"/>
          <w:szCs w:val="28"/>
          <w:lang w:val="uk-UA"/>
        </w:rPr>
        <w:t xml:space="preserve">у частині граничних сум, а саме: </w:t>
      </w:r>
      <w:r w:rsidR="00170C07" w:rsidRPr="00EF6097">
        <w:rPr>
          <w:sz w:val="28"/>
          <w:szCs w:val="28"/>
          <w:lang w:val="uk-UA"/>
        </w:rPr>
        <w:t>«наявність розбіжностей між обсягами задекларованих у податкових деклараціях з податку на додану вартість податкових зобов</w:t>
      </w:r>
      <w:r w:rsidR="00E71CE1" w:rsidRPr="00EF6097">
        <w:rPr>
          <w:sz w:val="28"/>
          <w:szCs w:val="28"/>
          <w:lang w:val="uk-UA"/>
        </w:rPr>
        <w:t>’</w:t>
      </w:r>
      <w:r w:rsidR="00170C07" w:rsidRPr="00EF6097">
        <w:rPr>
          <w:sz w:val="28"/>
          <w:szCs w:val="28"/>
          <w:lang w:val="uk-UA"/>
        </w:rPr>
        <w:t>язань або податкового кредиту з податку на додану вартість та обсягами податкових зобов</w:t>
      </w:r>
      <w:r w:rsidR="00E71CE1" w:rsidRPr="00EF6097">
        <w:rPr>
          <w:sz w:val="28"/>
          <w:szCs w:val="28"/>
          <w:lang w:val="uk-UA"/>
        </w:rPr>
        <w:t>’</w:t>
      </w:r>
      <w:r w:rsidR="00170C07" w:rsidRPr="00EF6097">
        <w:rPr>
          <w:sz w:val="28"/>
          <w:szCs w:val="28"/>
          <w:lang w:val="uk-UA"/>
        </w:rPr>
        <w:t>язань</w:t>
      </w:r>
      <w:r w:rsidR="00B94FAF" w:rsidRPr="00EF6097">
        <w:rPr>
          <w:sz w:val="28"/>
          <w:szCs w:val="28"/>
          <w:lang w:val="uk-UA"/>
        </w:rPr>
        <w:t>,</w:t>
      </w:r>
      <w:r w:rsidR="00170C07" w:rsidRPr="00EF6097">
        <w:rPr>
          <w:sz w:val="28"/>
          <w:szCs w:val="28"/>
          <w:lang w:val="uk-UA"/>
        </w:rPr>
        <w:t xml:space="preserve"> або податкового кредиту з податку на додану вартість за даними Єдиного реєстру податкових накладних на 5 та більше відсотків» </w:t>
      </w:r>
      <w:r w:rsidR="00B94FAF" w:rsidRPr="00EF6097">
        <w:rPr>
          <w:sz w:val="28"/>
          <w:szCs w:val="28"/>
          <w:lang w:val="uk-UA"/>
        </w:rPr>
        <w:t>такою</w:t>
      </w:r>
      <w:r w:rsidR="006F7987" w:rsidRPr="00EF6097">
        <w:rPr>
          <w:sz w:val="28"/>
          <w:szCs w:val="28"/>
          <w:lang w:val="uk-UA"/>
        </w:rPr>
        <w:t>:</w:t>
      </w:r>
      <w:r w:rsidR="00170C07" w:rsidRPr="00EF6097">
        <w:rPr>
          <w:sz w:val="28"/>
          <w:szCs w:val="28"/>
          <w:lang w:val="uk-UA"/>
        </w:rPr>
        <w:t xml:space="preserve"> «наявність розбіжностей у платника податків між даними податкової декларації з податку на додану вартість та Єдиного реєстру податкових накладних у сумі понад 1</w:t>
      </w:r>
      <w:r w:rsidR="00170C07" w:rsidRPr="00EF6097">
        <w:rPr>
          <w:bCs/>
          <w:snapToGrid w:val="0"/>
          <w:sz w:val="28"/>
          <w:szCs w:val="28"/>
          <w:lang w:val="uk-UA"/>
        </w:rPr>
        <w:t> </w:t>
      </w:r>
      <w:r w:rsidR="00170C07" w:rsidRPr="00EF6097">
        <w:rPr>
          <w:sz w:val="28"/>
          <w:szCs w:val="28"/>
          <w:lang w:val="uk-UA"/>
        </w:rPr>
        <w:t>млн грн</w:t>
      </w:r>
      <w:r w:rsidR="00B94FAF" w:rsidRPr="00EF6097">
        <w:rPr>
          <w:sz w:val="28"/>
          <w:szCs w:val="28"/>
          <w:lang w:val="uk-UA"/>
        </w:rPr>
        <w:t>,</w:t>
      </w:r>
      <w:r w:rsidR="00170C07" w:rsidRPr="00EF6097">
        <w:rPr>
          <w:sz w:val="28"/>
          <w:szCs w:val="28"/>
          <w:lang w:val="uk-UA"/>
        </w:rPr>
        <w:t xml:space="preserve"> або понад 5 відсотків загальних обсягів податкового кредиту, але не менше ніж 100 тис. грн».</w:t>
      </w:r>
    </w:p>
    <w:p w:rsidR="0036246D" w:rsidRPr="00EF6097" w:rsidRDefault="0036246D" w:rsidP="0036246D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З переліку критеріїв ризику середнього ступеня для платників податків – юридичних осіб виключається критерій «наявність негативних рішень комісії ДПС у системі автоматизованого моніторингу відповідності податкових накладних критеріям оцінки ступеня ризику, достатніх для зупинення реєстрації податкових накладних протягом трьох звітних періодів» через те, що зупинка податкової накладної/розрахунку коригування, а також факт відмови комісією контролюючого органу у реєстрації податкової накладної/розрахунку коригування на</w:t>
      </w:r>
      <w:r w:rsidR="00F953DB">
        <w:rPr>
          <w:sz w:val="28"/>
          <w:szCs w:val="28"/>
          <w:lang w:val="uk-UA"/>
        </w:rPr>
        <w:t>разі</w:t>
      </w:r>
      <w:r w:rsidRPr="00EF6097">
        <w:rPr>
          <w:sz w:val="28"/>
          <w:szCs w:val="28"/>
          <w:lang w:val="uk-UA"/>
        </w:rPr>
        <w:t xml:space="preserve"> не може вважатис</w:t>
      </w:r>
      <w:r w:rsidR="00F953DB">
        <w:rPr>
          <w:sz w:val="28"/>
          <w:szCs w:val="28"/>
          <w:lang w:val="uk-UA"/>
        </w:rPr>
        <w:t>я</w:t>
      </w:r>
      <w:r w:rsidRPr="00EF6097">
        <w:rPr>
          <w:sz w:val="28"/>
          <w:szCs w:val="28"/>
          <w:lang w:val="uk-UA"/>
        </w:rPr>
        <w:t xml:space="preserve"> ризиком, оскільки з урахуванням положень постанови Кабінету Міністрів України від 11</w:t>
      </w:r>
      <w:r w:rsidR="00F953DB">
        <w:rPr>
          <w:sz w:val="28"/>
          <w:szCs w:val="28"/>
          <w:lang w:val="uk-UA"/>
        </w:rPr>
        <w:t xml:space="preserve"> грудня </w:t>
      </w:r>
      <w:r w:rsidRPr="00EF6097">
        <w:rPr>
          <w:sz w:val="28"/>
          <w:szCs w:val="28"/>
          <w:lang w:val="uk-UA"/>
        </w:rPr>
        <w:t xml:space="preserve">2019 </w:t>
      </w:r>
      <w:r w:rsidR="00F953DB">
        <w:rPr>
          <w:sz w:val="28"/>
          <w:szCs w:val="28"/>
          <w:lang w:val="uk-UA"/>
        </w:rPr>
        <w:t xml:space="preserve">року </w:t>
      </w:r>
      <w:r w:rsidRPr="00EF6097">
        <w:rPr>
          <w:sz w:val="28"/>
          <w:szCs w:val="28"/>
          <w:lang w:val="uk-UA"/>
        </w:rPr>
        <w:t>№</w:t>
      </w:r>
      <w:r w:rsidR="00F953DB">
        <w:rPr>
          <w:sz w:val="28"/>
          <w:szCs w:val="28"/>
          <w:lang w:val="uk-UA"/>
        </w:rPr>
        <w:t> </w:t>
      </w:r>
      <w:r w:rsidRPr="00EF6097">
        <w:rPr>
          <w:sz w:val="28"/>
          <w:szCs w:val="28"/>
          <w:lang w:val="uk-UA"/>
        </w:rPr>
        <w:t xml:space="preserve">1165 «Про затвердження порядків з питань зупинення реєстрації податкової накладної/розрахунку коригування в Єдиному реєстрі податкових накладних» </w:t>
      </w:r>
      <w:r w:rsidR="00F953DB">
        <w:rPr>
          <w:sz w:val="28"/>
          <w:szCs w:val="28"/>
          <w:lang w:val="uk-UA"/>
        </w:rPr>
        <w:lastRenderedPageBreak/>
        <w:t>за</w:t>
      </w:r>
      <w:r w:rsidRPr="00EF6097">
        <w:rPr>
          <w:sz w:val="28"/>
          <w:szCs w:val="28"/>
          <w:lang w:val="uk-UA"/>
        </w:rPr>
        <w:t xml:space="preserve"> зупинени</w:t>
      </w:r>
      <w:r w:rsidR="00F953DB">
        <w:rPr>
          <w:sz w:val="28"/>
          <w:szCs w:val="28"/>
          <w:lang w:val="uk-UA"/>
        </w:rPr>
        <w:t>ми</w:t>
      </w:r>
      <w:r w:rsidRPr="00EF6097">
        <w:rPr>
          <w:sz w:val="28"/>
          <w:szCs w:val="28"/>
          <w:lang w:val="uk-UA"/>
        </w:rPr>
        <w:t xml:space="preserve"> накладни</w:t>
      </w:r>
      <w:r w:rsidR="00F953DB">
        <w:rPr>
          <w:sz w:val="28"/>
          <w:szCs w:val="28"/>
          <w:lang w:val="uk-UA"/>
        </w:rPr>
        <w:t>ми</w:t>
      </w:r>
      <w:r w:rsidRPr="00EF6097">
        <w:rPr>
          <w:sz w:val="28"/>
          <w:szCs w:val="28"/>
          <w:lang w:val="uk-UA"/>
        </w:rPr>
        <w:t xml:space="preserve"> платник може подати повідомлення та пакет документів, за наслідками розгляду яких податкова накладна/розрахунок коригування можуть бути зареєстровані. </w:t>
      </w:r>
    </w:p>
    <w:p w:rsidR="0036246D" w:rsidRPr="00EF6097" w:rsidRDefault="0036246D" w:rsidP="0036246D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У разі відмови платник має право подати скаргу до комісії центрального рівня, за наслідками розгляду якої також податкова накладна/розрахунок коригування можуть бути зареєстровані. При цьому підставою для відмови у реєстрації податкової накладної/розрахунку коригування та незадоволення скарги є ненадання/надання не в повному обсязі пакета документів або пояснень, що не може вважатис</w:t>
      </w:r>
      <w:r w:rsidR="00F953DB">
        <w:rPr>
          <w:sz w:val="28"/>
          <w:szCs w:val="28"/>
          <w:lang w:val="uk-UA"/>
        </w:rPr>
        <w:t>я</w:t>
      </w:r>
      <w:r w:rsidRPr="00EF6097">
        <w:rPr>
          <w:sz w:val="28"/>
          <w:szCs w:val="28"/>
          <w:lang w:val="uk-UA"/>
        </w:rPr>
        <w:t xml:space="preserve"> ризиком.</w:t>
      </w:r>
    </w:p>
    <w:p w:rsidR="0036246D" w:rsidRPr="00EF6097" w:rsidRDefault="0036246D" w:rsidP="009F27A0">
      <w:pPr>
        <w:tabs>
          <w:tab w:val="left" w:pos="954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F6097">
        <w:rPr>
          <w:bCs/>
          <w:color w:val="000000"/>
          <w:sz w:val="28"/>
          <w:szCs w:val="28"/>
          <w:lang w:val="uk-UA"/>
        </w:rPr>
        <w:t xml:space="preserve">Для однозначного тлумачення та звуження кола для відбору платників податків до перевірок уточняється </w:t>
      </w:r>
      <w:r w:rsidRPr="00EF6097">
        <w:rPr>
          <w:sz w:val="28"/>
          <w:szCs w:val="28"/>
          <w:lang w:val="uk-UA"/>
        </w:rPr>
        <w:t>критері</w:t>
      </w:r>
      <w:r w:rsidR="00F953DB">
        <w:rPr>
          <w:sz w:val="28"/>
          <w:szCs w:val="28"/>
          <w:lang w:val="uk-UA"/>
        </w:rPr>
        <w:t>й</w:t>
      </w:r>
      <w:r w:rsidRPr="00EF6097">
        <w:rPr>
          <w:sz w:val="28"/>
          <w:szCs w:val="28"/>
          <w:lang w:val="uk-UA"/>
        </w:rPr>
        <w:t xml:space="preserve"> ризику середнього ступеня для платників податків – юридичних осіб</w:t>
      </w:r>
      <w:r w:rsidR="00F953DB">
        <w:rPr>
          <w:sz w:val="28"/>
          <w:szCs w:val="28"/>
          <w:lang w:val="uk-UA"/>
        </w:rPr>
        <w:t>, зокрема слова</w:t>
      </w:r>
      <w:r w:rsidR="00F953DB">
        <w:rPr>
          <w:bCs/>
          <w:color w:val="000000"/>
          <w:sz w:val="28"/>
          <w:szCs w:val="28"/>
          <w:lang w:val="uk-UA"/>
        </w:rPr>
        <w:t xml:space="preserve"> </w:t>
      </w:r>
      <w:r w:rsidRPr="00EF6097">
        <w:rPr>
          <w:bCs/>
          <w:color w:val="000000"/>
          <w:sz w:val="28"/>
          <w:szCs w:val="28"/>
          <w:lang w:val="uk-UA"/>
        </w:rPr>
        <w:t>«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>невідповідність даних звітності</w:t>
      </w:r>
      <w:r w:rsidRPr="00EF6097">
        <w:rPr>
          <w:sz w:val="28"/>
          <w:szCs w:val="28"/>
          <w:lang w:val="uk-UA"/>
        </w:rPr>
        <w:t xml:space="preserve"> реєстратора розрахункових операцій та обсягів постачання, зазначених у деклараціях з податку на додану вартість», </w:t>
      </w:r>
      <w:r w:rsidR="00F953DB">
        <w:rPr>
          <w:sz w:val="28"/>
          <w:szCs w:val="28"/>
          <w:lang w:val="uk-UA"/>
        </w:rPr>
        <w:t>замінено словами</w:t>
      </w:r>
      <w:r w:rsidRPr="00EF6097">
        <w:rPr>
          <w:sz w:val="28"/>
          <w:szCs w:val="28"/>
          <w:lang w:val="uk-UA"/>
        </w:rPr>
        <w:t xml:space="preserve"> «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>наявність розбіжностей між задекларованою</w:t>
      </w:r>
      <w:r w:rsidRPr="00EF6097">
        <w:rPr>
          <w:sz w:val="28"/>
          <w:szCs w:val="28"/>
          <w:lang w:val="uk-UA"/>
        </w:rPr>
        <w:t xml:space="preserve"> сумою обсягів постачання у деклараціях з податку на додану вартість та сумою розрахункових операцій, проведених із застосуванням реєстраторів розрахункових операцій</w:t>
      </w:r>
      <w:r w:rsidR="0070455C" w:rsidRPr="00EF6097">
        <w:rPr>
          <w:sz w:val="28"/>
          <w:szCs w:val="28"/>
          <w:lang w:val="uk-UA"/>
        </w:rPr>
        <w:t xml:space="preserve"> та/</w:t>
      </w:r>
      <w:r w:rsidR="0070455C" w:rsidRPr="00EF6097">
        <w:rPr>
          <w:bCs/>
          <w:snapToGrid w:val="0"/>
          <w:color w:val="000000"/>
          <w:sz w:val="28"/>
          <w:szCs w:val="28"/>
          <w:lang w:val="uk-UA"/>
        </w:rPr>
        <w:t>або програмних реєстраторів розрахункових операцій</w:t>
      </w:r>
      <w:r w:rsidRPr="00EF6097">
        <w:rPr>
          <w:sz w:val="28"/>
          <w:szCs w:val="28"/>
          <w:lang w:val="uk-UA"/>
        </w:rPr>
        <w:t>, в обсязі, що перевищує 30 відсотків».</w:t>
      </w:r>
    </w:p>
    <w:p w:rsidR="004A2B35" w:rsidRPr="00EF6097" w:rsidRDefault="005D23E8" w:rsidP="009F27A0">
      <w:pPr>
        <w:tabs>
          <w:tab w:val="left" w:pos="9540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EF6097">
        <w:rPr>
          <w:color w:val="000000" w:themeColor="text1"/>
          <w:sz w:val="28"/>
          <w:szCs w:val="28"/>
          <w:lang w:val="uk-UA"/>
        </w:rPr>
        <w:t xml:space="preserve">Також критерії </w:t>
      </w:r>
      <w:r w:rsidR="00C23E6A" w:rsidRPr="00EF6097">
        <w:rPr>
          <w:bCs/>
          <w:snapToGrid w:val="0"/>
          <w:color w:val="000000"/>
          <w:sz w:val="28"/>
          <w:szCs w:val="28"/>
          <w:lang w:val="uk-UA"/>
        </w:rPr>
        <w:t>відбору платників податків – юридичних осіб</w:t>
      </w:r>
      <w:r w:rsidR="00C23E6A" w:rsidRPr="00EF6097">
        <w:rPr>
          <w:color w:val="000000" w:themeColor="text1"/>
          <w:sz w:val="28"/>
          <w:szCs w:val="28"/>
          <w:lang w:val="uk-UA"/>
        </w:rPr>
        <w:t xml:space="preserve"> </w:t>
      </w:r>
      <w:r w:rsidR="006F7987" w:rsidRPr="00EF6097">
        <w:rPr>
          <w:color w:val="000000" w:themeColor="text1"/>
          <w:sz w:val="28"/>
          <w:szCs w:val="28"/>
          <w:lang w:val="uk-UA"/>
        </w:rPr>
        <w:t>середнього ступеня</w:t>
      </w:r>
      <w:r w:rsidR="00D4197F" w:rsidRPr="00EF6097">
        <w:rPr>
          <w:color w:val="000000" w:themeColor="text1"/>
          <w:sz w:val="28"/>
          <w:szCs w:val="28"/>
          <w:lang w:val="uk-UA"/>
        </w:rPr>
        <w:t xml:space="preserve"> </w:t>
      </w:r>
      <w:r w:rsidR="00C23E6A" w:rsidRPr="00EF6097">
        <w:rPr>
          <w:color w:val="000000" w:themeColor="text1"/>
          <w:sz w:val="28"/>
          <w:szCs w:val="28"/>
          <w:lang w:val="uk-UA"/>
        </w:rPr>
        <w:t xml:space="preserve">ризику </w:t>
      </w:r>
      <w:r w:rsidR="00EB6EDD" w:rsidRPr="00EF6097">
        <w:rPr>
          <w:color w:val="000000" w:themeColor="text1"/>
          <w:sz w:val="28"/>
          <w:szCs w:val="28"/>
          <w:lang w:val="uk-UA"/>
        </w:rPr>
        <w:t>доповн</w:t>
      </w:r>
      <w:r w:rsidRPr="00EF6097">
        <w:rPr>
          <w:color w:val="000000" w:themeColor="text1"/>
          <w:sz w:val="28"/>
          <w:szCs w:val="28"/>
          <w:lang w:val="uk-UA"/>
        </w:rPr>
        <w:t>юються</w:t>
      </w:r>
      <w:r w:rsidR="004A2B35" w:rsidRPr="00EF6097">
        <w:rPr>
          <w:color w:val="000000" w:themeColor="text1"/>
          <w:sz w:val="28"/>
          <w:szCs w:val="28"/>
          <w:lang w:val="uk-UA"/>
        </w:rPr>
        <w:t xml:space="preserve"> новим критерієм «сплата податку на прибуток за відповідний рік </w:t>
      </w:r>
      <w:r w:rsidR="00896C7C">
        <w:rPr>
          <w:color w:val="000000" w:themeColor="text1"/>
          <w:sz w:val="28"/>
          <w:szCs w:val="28"/>
          <w:lang w:val="uk-UA"/>
        </w:rPr>
        <w:t>в</w:t>
      </w:r>
      <w:r w:rsidR="004A2B35" w:rsidRPr="00EF6097">
        <w:rPr>
          <w:color w:val="000000" w:themeColor="text1"/>
          <w:sz w:val="28"/>
          <w:szCs w:val="28"/>
          <w:lang w:val="uk-UA"/>
        </w:rPr>
        <w:t xml:space="preserve"> обсязі менше 1,5</w:t>
      </w:r>
      <w:r w:rsidR="00E71CE1" w:rsidRPr="00EF6097">
        <w:rPr>
          <w:color w:val="000000" w:themeColor="text1"/>
          <w:sz w:val="28"/>
          <w:szCs w:val="28"/>
          <w:lang w:val="uk-UA"/>
        </w:rPr>
        <w:t> </w:t>
      </w:r>
      <w:r w:rsidR="004A2B35" w:rsidRPr="00EF6097">
        <w:rPr>
          <w:color w:val="000000" w:themeColor="text1"/>
          <w:sz w:val="28"/>
          <w:szCs w:val="28"/>
          <w:lang w:val="uk-UA"/>
        </w:rPr>
        <w:t xml:space="preserve">відсотка від обсягу відшкодованого податку на додану вартість у розмірі понад 10 млн грн </w:t>
      </w:r>
      <w:r w:rsidR="00896C7C">
        <w:rPr>
          <w:color w:val="000000" w:themeColor="text1"/>
          <w:sz w:val="28"/>
          <w:szCs w:val="28"/>
          <w:lang w:val="uk-UA"/>
        </w:rPr>
        <w:t>у</w:t>
      </w:r>
      <w:r w:rsidR="004A2B35" w:rsidRPr="00EF6097">
        <w:rPr>
          <w:color w:val="000000" w:themeColor="text1"/>
          <w:sz w:val="28"/>
          <w:szCs w:val="28"/>
          <w:lang w:val="uk-UA"/>
        </w:rPr>
        <w:t>продовж календарного року»</w:t>
      </w:r>
      <w:r w:rsidR="00D4197F" w:rsidRPr="00EF6097">
        <w:rPr>
          <w:color w:val="000000" w:themeColor="text1"/>
          <w:sz w:val="28"/>
          <w:szCs w:val="28"/>
          <w:lang w:val="uk-UA"/>
        </w:rPr>
        <w:t>.</w:t>
      </w:r>
    </w:p>
    <w:p w:rsidR="00C63FD1" w:rsidRPr="00EF6097" w:rsidRDefault="00C63FD1" w:rsidP="009F27A0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 xml:space="preserve">Прибуток </w:t>
      </w:r>
      <w:r w:rsidR="00C23E6A" w:rsidRPr="00EF6097">
        <w:rPr>
          <w:sz w:val="28"/>
          <w:szCs w:val="28"/>
          <w:lang w:val="uk-UA"/>
        </w:rPr>
        <w:t>є основним</w:t>
      </w:r>
      <w:r w:rsidRPr="00EF6097">
        <w:rPr>
          <w:sz w:val="28"/>
          <w:szCs w:val="28"/>
          <w:lang w:val="uk-UA"/>
        </w:rPr>
        <w:t xml:space="preserve"> результативни</w:t>
      </w:r>
      <w:r w:rsidR="00C23E6A" w:rsidRPr="00EF6097">
        <w:rPr>
          <w:sz w:val="28"/>
          <w:szCs w:val="28"/>
          <w:lang w:val="uk-UA"/>
        </w:rPr>
        <w:t>м</w:t>
      </w:r>
      <w:r w:rsidRPr="00EF6097">
        <w:rPr>
          <w:sz w:val="28"/>
          <w:szCs w:val="28"/>
          <w:lang w:val="uk-UA"/>
        </w:rPr>
        <w:t xml:space="preserve"> показник</w:t>
      </w:r>
      <w:r w:rsidR="0029189B" w:rsidRPr="00EF6097">
        <w:rPr>
          <w:sz w:val="28"/>
          <w:szCs w:val="28"/>
          <w:lang w:val="uk-UA"/>
        </w:rPr>
        <w:t>ом</w:t>
      </w:r>
      <w:r w:rsidRPr="00EF6097">
        <w:rPr>
          <w:sz w:val="28"/>
          <w:szCs w:val="28"/>
          <w:lang w:val="uk-UA"/>
        </w:rPr>
        <w:t xml:space="preserve"> діяльності підприємств. </w:t>
      </w:r>
      <w:r w:rsidR="0029189B" w:rsidRPr="00EF6097">
        <w:rPr>
          <w:sz w:val="28"/>
          <w:szCs w:val="28"/>
          <w:lang w:val="uk-UA"/>
        </w:rPr>
        <w:t>Н</w:t>
      </w:r>
      <w:r w:rsidRPr="00EF6097">
        <w:rPr>
          <w:sz w:val="28"/>
          <w:szCs w:val="28"/>
          <w:lang w:val="uk-UA"/>
        </w:rPr>
        <w:t>ерідко мають місце випадки, коли підприємство відшкодовує значні суми податку на додану вартість з бюджету та при цьому не сплачує податок на прибуток.</w:t>
      </w:r>
    </w:p>
    <w:p w:rsidR="00C63FD1" w:rsidRPr="00EF6097" w:rsidRDefault="00C63FD1" w:rsidP="009F27A0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Так за період з 01.01.2020 по 31.03.2021 73 платник</w:t>
      </w:r>
      <w:r w:rsidR="0029189B" w:rsidRPr="00EF6097">
        <w:rPr>
          <w:sz w:val="28"/>
          <w:szCs w:val="28"/>
          <w:lang w:val="uk-UA"/>
        </w:rPr>
        <w:t>ам податків</w:t>
      </w:r>
      <w:r w:rsidRPr="00EF6097">
        <w:rPr>
          <w:sz w:val="28"/>
          <w:szCs w:val="28"/>
          <w:lang w:val="uk-UA"/>
        </w:rPr>
        <w:t xml:space="preserve"> </w:t>
      </w:r>
      <w:r w:rsidR="0029189B" w:rsidRPr="00EF6097">
        <w:rPr>
          <w:sz w:val="28"/>
          <w:szCs w:val="28"/>
          <w:lang w:val="uk-UA"/>
        </w:rPr>
        <w:t xml:space="preserve">відшкодовано з бюджету 3,3 млрд </w:t>
      </w:r>
      <w:r w:rsidRPr="00EF6097">
        <w:rPr>
          <w:sz w:val="28"/>
          <w:szCs w:val="28"/>
          <w:lang w:val="uk-UA"/>
        </w:rPr>
        <w:t xml:space="preserve">грн, при цьому зазначені підприємства не сплатили до бюджету податку на прибуток. </w:t>
      </w:r>
    </w:p>
    <w:p w:rsidR="00177C71" w:rsidRPr="00EF6097" w:rsidRDefault="00896C7C" w:rsidP="009F27A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</w:t>
      </w:r>
      <w:r w:rsidR="00C63FD1" w:rsidRPr="00EF6097">
        <w:rPr>
          <w:sz w:val="28"/>
          <w:szCs w:val="28"/>
          <w:lang w:val="uk-UA"/>
        </w:rPr>
        <w:t xml:space="preserve">ий критерій </w:t>
      </w:r>
      <w:r w:rsidR="0029189B" w:rsidRPr="00EF6097">
        <w:rPr>
          <w:sz w:val="28"/>
          <w:szCs w:val="28"/>
          <w:lang w:val="uk-UA"/>
        </w:rPr>
        <w:t xml:space="preserve">забезпечить </w:t>
      </w:r>
      <w:r w:rsidR="00C63FD1" w:rsidRPr="00EF6097">
        <w:rPr>
          <w:sz w:val="28"/>
          <w:szCs w:val="28"/>
          <w:lang w:val="uk-UA"/>
        </w:rPr>
        <w:t>застосува</w:t>
      </w:r>
      <w:r w:rsidR="0029189B" w:rsidRPr="00EF6097">
        <w:rPr>
          <w:sz w:val="28"/>
          <w:szCs w:val="28"/>
          <w:lang w:val="uk-UA"/>
        </w:rPr>
        <w:t>ння</w:t>
      </w:r>
      <w:r w:rsidR="00C63FD1" w:rsidRPr="00EF6097">
        <w:rPr>
          <w:sz w:val="28"/>
          <w:szCs w:val="28"/>
          <w:lang w:val="uk-UA"/>
        </w:rPr>
        <w:t xml:space="preserve"> механізм</w:t>
      </w:r>
      <w:r w:rsidR="0029189B" w:rsidRPr="00EF6097">
        <w:rPr>
          <w:sz w:val="28"/>
          <w:szCs w:val="28"/>
          <w:lang w:val="uk-UA"/>
        </w:rPr>
        <w:t>у</w:t>
      </w:r>
      <w:r w:rsidR="00C63FD1" w:rsidRPr="00EF6097">
        <w:rPr>
          <w:sz w:val="28"/>
          <w:szCs w:val="28"/>
          <w:lang w:val="uk-UA"/>
        </w:rPr>
        <w:t xml:space="preserve"> першочергового реагування на ті підприємства, щодо яких існує вірогідність недоплати податку на прибуток або прих</w:t>
      </w:r>
      <w:r w:rsidR="00177C71" w:rsidRPr="00EF6097">
        <w:rPr>
          <w:sz w:val="28"/>
          <w:szCs w:val="28"/>
          <w:lang w:val="uk-UA"/>
        </w:rPr>
        <w:t>овування об’єкта оподаткування шляхом використання схем руху товарних потоків через посередницькі структури або підприємства, що занижують свою рентабельність та мінімізують прибутки.</w:t>
      </w:r>
    </w:p>
    <w:p w:rsidR="0034367C" w:rsidRPr="00EF6097" w:rsidRDefault="00876FD1" w:rsidP="009F27A0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З</w:t>
      </w:r>
      <w:r w:rsidR="0005630A" w:rsidRPr="00EF6097">
        <w:rPr>
          <w:sz w:val="28"/>
          <w:szCs w:val="28"/>
          <w:lang w:val="uk-UA"/>
        </w:rPr>
        <w:t xml:space="preserve"> метою удосконал</w:t>
      </w:r>
      <w:r w:rsidR="006F7987" w:rsidRPr="00EF6097">
        <w:rPr>
          <w:sz w:val="28"/>
          <w:szCs w:val="28"/>
          <w:lang w:val="uk-UA"/>
        </w:rPr>
        <w:t>ення</w:t>
      </w:r>
      <w:r w:rsidR="0005630A" w:rsidRPr="00EF6097">
        <w:rPr>
          <w:sz w:val="28"/>
          <w:szCs w:val="28"/>
          <w:lang w:val="uk-UA"/>
        </w:rPr>
        <w:t xml:space="preserve"> систем</w:t>
      </w:r>
      <w:r w:rsidR="006F7987" w:rsidRPr="00EF6097">
        <w:rPr>
          <w:sz w:val="28"/>
          <w:szCs w:val="28"/>
          <w:lang w:val="uk-UA"/>
        </w:rPr>
        <w:t>и</w:t>
      </w:r>
      <w:r w:rsidR="0005630A" w:rsidRPr="00EF6097">
        <w:rPr>
          <w:sz w:val="28"/>
          <w:szCs w:val="28"/>
          <w:lang w:val="uk-UA"/>
        </w:rPr>
        <w:t xml:space="preserve"> </w:t>
      </w:r>
      <w:proofErr w:type="spellStart"/>
      <w:r w:rsidR="0005630A" w:rsidRPr="00EF6097">
        <w:rPr>
          <w:sz w:val="28"/>
          <w:szCs w:val="28"/>
          <w:lang w:val="uk-UA"/>
        </w:rPr>
        <w:t>ризикоорієнтованого</w:t>
      </w:r>
      <w:proofErr w:type="spellEnd"/>
      <w:r w:rsidR="0005630A" w:rsidRPr="00EF6097">
        <w:rPr>
          <w:sz w:val="28"/>
          <w:szCs w:val="28"/>
          <w:lang w:val="uk-UA"/>
        </w:rPr>
        <w:t xml:space="preserve"> податкового </w:t>
      </w:r>
      <w:r w:rsidR="006F7987" w:rsidRPr="00EF6097">
        <w:rPr>
          <w:sz w:val="28"/>
          <w:szCs w:val="28"/>
          <w:lang w:val="uk-UA"/>
        </w:rPr>
        <w:t>контролю</w:t>
      </w:r>
      <w:r w:rsidR="0005630A" w:rsidRPr="00EF6097">
        <w:rPr>
          <w:sz w:val="28"/>
          <w:szCs w:val="28"/>
          <w:lang w:val="uk-UA"/>
        </w:rPr>
        <w:t xml:space="preserve"> </w:t>
      </w:r>
      <w:r w:rsidR="00743BE5" w:rsidRPr="00EF6097">
        <w:rPr>
          <w:sz w:val="28"/>
          <w:szCs w:val="28"/>
          <w:lang w:val="uk-UA"/>
        </w:rPr>
        <w:t xml:space="preserve">у розділі </w:t>
      </w:r>
      <w:r w:rsidR="00743BE5" w:rsidRPr="00EF6097">
        <w:rPr>
          <w:sz w:val="28"/>
          <w:szCs w:val="28"/>
          <w:lang w:val="en-US"/>
        </w:rPr>
        <w:t>IV</w:t>
      </w:r>
      <w:r w:rsidR="00743BE5" w:rsidRPr="00EF6097">
        <w:rPr>
          <w:sz w:val="28"/>
          <w:szCs w:val="28"/>
          <w:lang w:val="uk-UA"/>
        </w:rPr>
        <w:t xml:space="preserve"> «Порядок відбору до плану-графіка платників податків </w:t>
      </w:r>
      <w:r w:rsidR="00896C7C">
        <w:rPr>
          <w:sz w:val="28"/>
          <w:szCs w:val="28"/>
          <w:lang w:val="uk-UA"/>
        </w:rPr>
        <w:t>–</w:t>
      </w:r>
      <w:r w:rsidR="00743BE5" w:rsidRPr="00EF6097">
        <w:rPr>
          <w:sz w:val="28"/>
          <w:szCs w:val="28"/>
          <w:lang w:val="uk-UA"/>
        </w:rPr>
        <w:t xml:space="preserve"> </w:t>
      </w:r>
      <w:r w:rsidR="00743BE5" w:rsidRPr="00EF6097">
        <w:rPr>
          <w:bCs/>
          <w:color w:val="000000"/>
          <w:sz w:val="28"/>
          <w:szCs w:val="28"/>
          <w:lang w:val="uk-UA"/>
        </w:rPr>
        <w:t>фізичних осіб</w:t>
      </w:r>
      <w:r w:rsidR="00743BE5" w:rsidRPr="00EF6097">
        <w:rPr>
          <w:sz w:val="28"/>
          <w:szCs w:val="28"/>
          <w:lang w:val="uk-UA"/>
        </w:rPr>
        <w:t>» уточня</w:t>
      </w:r>
      <w:r w:rsidR="00A51A01">
        <w:rPr>
          <w:sz w:val="28"/>
          <w:szCs w:val="28"/>
          <w:lang w:val="uk-UA"/>
        </w:rPr>
        <w:t>є</w:t>
      </w:r>
      <w:r w:rsidR="00743BE5" w:rsidRPr="00EF6097">
        <w:rPr>
          <w:sz w:val="28"/>
          <w:szCs w:val="28"/>
          <w:lang w:val="uk-UA"/>
        </w:rPr>
        <w:t>ться</w:t>
      </w:r>
      <w:r w:rsidR="00BD1FDA" w:rsidRPr="00EF6097">
        <w:rPr>
          <w:sz w:val="28"/>
          <w:szCs w:val="28"/>
          <w:lang w:val="uk-UA"/>
        </w:rPr>
        <w:t xml:space="preserve"> та доповнюється новими критері</w:t>
      </w:r>
      <w:r w:rsidR="00A51A01">
        <w:rPr>
          <w:sz w:val="28"/>
          <w:szCs w:val="28"/>
          <w:lang w:val="uk-UA"/>
        </w:rPr>
        <w:t>ями</w:t>
      </w:r>
      <w:r w:rsidR="00BD1FDA" w:rsidRPr="00EF6097">
        <w:rPr>
          <w:sz w:val="28"/>
          <w:szCs w:val="28"/>
          <w:lang w:val="uk-UA"/>
        </w:rPr>
        <w:t xml:space="preserve"> відбору </w:t>
      </w:r>
      <w:r w:rsidR="0005630A" w:rsidRPr="00EF6097">
        <w:rPr>
          <w:sz w:val="28"/>
          <w:szCs w:val="28"/>
          <w:lang w:val="uk-UA"/>
        </w:rPr>
        <w:t xml:space="preserve">платників податків </w:t>
      </w:r>
      <w:r w:rsidR="00404C15" w:rsidRPr="00EF6097">
        <w:rPr>
          <w:sz w:val="28"/>
          <w:szCs w:val="28"/>
          <w:lang w:val="uk-UA"/>
        </w:rPr>
        <w:t>–</w:t>
      </w:r>
      <w:r w:rsidR="0005630A" w:rsidRPr="00EF6097">
        <w:rPr>
          <w:sz w:val="28"/>
          <w:szCs w:val="28"/>
          <w:lang w:val="uk-UA"/>
        </w:rPr>
        <w:t xml:space="preserve"> фізичних осіб</w:t>
      </w:r>
      <w:r w:rsidR="00BD1FDA" w:rsidRPr="00EF6097">
        <w:rPr>
          <w:sz w:val="28"/>
          <w:szCs w:val="28"/>
          <w:lang w:val="uk-UA"/>
        </w:rPr>
        <w:t>.</w:t>
      </w:r>
    </w:p>
    <w:p w:rsidR="0034367C" w:rsidRPr="00EF6097" w:rsidRDefault="00BD1FDA" w:rsidP="009F27A0">
      <w:pPr>
        <w:pStyle w:val="ad"/>
        <w:tabs>
          <w:tab w:val="left" w:pos="709"/>
        </w:tabs>
        <w:spacing w:after="0"/>
        <w:ind w:left="0" w:firstLine="567"/>
        <w:jc w:val="both"/>
        <w:outlineLvl w:val="0"/>
        <w:rPr>
          <w:bCs/>
          <w:color w:val="000000"/>
          <w:sz w:val="28"/>
          <w:szCs w:val="28"/>
          <w:lang w:val="uk-UA"/>
        </w:rPr>
      </w:pPr>
      <w:r w:rsidRPr="00EF6097">
        <w:rPr>
          <w:bCs/>
          <w:color w:val="000000"/>
          <w:sz w:val="28"/>
          <w:szCs w:val="28"/>
          <w:lang w:val="uk-UA"/>
        </w:rPr>
        <w:t>Так</w:t>
      </w:r>
      <w:r w:rsidR="00743BE5" w:rsidRPr="00EF6097">
        <w:rPr>
          <w:bCs/>
          <w:color w:val="000000"/>
          <w:sz w:val="28"/>
          <w:szCs w:val="28"/>
          <w:lang w:val="uk-UA"/>
        </w:rPr>
        <w:t>,</w:t>
      </w:r>
      <w:r w:rsidRPr="00EF6097">
        <w:rPr>
          <w:bCs/>
          <w:color w:val="000000"/>
          <w:sz w:val="28"/>
          <w:szCs w:val="28"/>
          <w:lang w:val="uk-UA"/>
        </w:rPr>
        <w:t xml:space="preserve"> </w:t>
      </w:r>
      <w:r w:rsidR="004125A4" w:rsidRPr="00EF6097">
        <w:rPr>
          <w:bCs/>
          <w:color w:val="000000"/>
          <w:sz w:val="28"/>
          <w:szCs w:val="28"/>
          <w:lang w:val="uk-UA"/>
        </w:rPr>
        <w:t>уточняється</w:t>
      </w:r>
      <w:r w:rsidR="005805B0" w:rsidRPr="00EF6097">
        <w:rPr>
          <w:bCs/>
          <w:color w:val="000000"/>
          <w:sz w:val="28"/>
          <w:szCs w:val="28"/>
          <w:lang w:val="uk-UA"/>
        </w:rPr>
        <w:t xml:space="preserve"> </w:t>
      </w:r>
      <w:r w:rsidRPr="00EF6097">
        <w:rPr>
          <w:bCs/>
          <w:color w:val="000000"/>
          <w:sz w:val="28"/>
          <w:szCs w:val="28"/>
          <w:lang w:val="uk-UA"/>
        </w:rPr>
        <w:t>критерій ризику високого ступеню «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>розмір</w:t>
      </w:r>
      <w:r w:rsidRPr="00EF6097">
        <w:rPr>
          <w:sz w:val="28"/>
          <w:szCs w:val="28"/>
          <w:lang w:val="uk-UA"/>
        </w:rPr>
        <w:t xml:space="preserve"> інших витрат, у тому числі вартість виконаних робіт, наданих послуг, </w:t>
      </w:r>
      <w:r w:rsidRPr="00EF6097">
        <w:rPr>
          <w:i/>
          <w:sz w:val="28"/>
          <w:szCs w:val="28"/>
          <w:lang w:val="uk-UA"/>
        </w:rPr>
        <w:t>або сума розрахованої амортизації основних засобів</w:t>
      </w:r>
      <w:r w:rsidRPr="00EF6097">
        <w:rPr>
          <w:sz w:val="28"/>
          <w:szCs w:val="28"/>
          <w:lang w:val="uk-UA"/>
        </w:rPr>
        <w:t xml:space="preserve"> становить 30 та більше відсотків задекларованої в податковій звітності вартості документально підтверджених витрат, пов’язаних з господарською діяльністю платника 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податків» </w:t>
      </w:r>
      <w:r w:rsidR="004125A4" w:rsidRPr="00EF6097">
        <w:rPr>
          <w:bCs/>
          <w:snapToGrid w:val="0"/>
          <w:color w:val="000000"/>
          <w:sz w:val="28"/>
          <w:szCs w:val="28"/>
          <w:lang w:val="uk-UA"/>
        </w:rPr>
        <w:t>і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нформацією 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щодо</w:t>
      </w:r>
      <w:r w:rsidR="00A51A01" w:rsidRPr="00EF6097">
        <w:rPr>
          <w:bCs/>
          <w:snapToGrid w:val="0"/>
          <w:color w:val="000000"/>
          <w:sz w:val="28"/>
          <w:szCs w:val="28"/>
          <w:lang w:val="uk-UA"/>
        </w:rPr>
        <w:t xml:space="preserve"> </w:t>
      </w:r>
      <w:r w:rsidRPr="00EF6097">
        <w:rPr>
          <w:sz w:val="28"/>
          <w:szCs w:val="28"/>
          <w:lang w:val="uk-UA"/>
        </w:rPr>
        <w:t>сум</w:t>
      </w:r>
      <w:r w:rsidR="00A51A01">
        <w:rPr>
          <w:sz w:val="28"/>
          <w:szCs w:val="28"/>
          <w:lang w:val="uk-UA"/>
        </w:rPr>
        <w:t>и</w:t>
      </w:r>
      <w:r w:rsidRPr="00EF6097">
        <w:rPr>
          <w:sz w:val="28"/>
          <w:szCs w:val="28"/>
          <w:lang w:val="uk-UA"/>
        </w:rPr>
        <w:t xml:space="preserve"> розрахованої амортизації основних засобів.</w:t>
      </w:r>
    </w:p>
    <w:p w:rsidR="00743BE5" w:rsidRPr="00EF6097" w:rsidRDefault="004125A4" w:rsidP="009F27A0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lastRenderedPageBreak/>
        <w:t>Уточнення</w:t>
      </w:r>
      <w:r w:rsidR="00743BE5" w:rsidRPr="00EF6097">
        <w:rPr>
          <w:sz w:val="28"/>
          <w:szCs w:val="28"/>
          <w:lang w:val="uk-UA"/>
        </w:rPr>
        <w:t xml:space="preserve"> внос</w:t>
      </w:r>
      <w:r w:rsidR="00A51A01">
        <w:rPr>
          <w:sz w:val="28"/>
          <w:szCs w:val="28"/>
          <w:lang w:val="uk-UA"/>
        </w:rPr>
        <w:t>и</w:t>
      </w:r>
      <w:r w:rsidR="00743BE5" w:rsidRPr="00EF6097">
        <w:rPr>
          <w:sz w:val="28"/>
          <w:szCs w:val="28"/>
          <w:lang w:val="uk-UA"/>
        </w:rPr>
        <w:t xml:space="preserve">ться з метою дослідження діяльності платників податків, які включають придбаний товар до витратної частини </w:t>
      </w:r>
      <w:r w:rsidR="00A727F4" w:rsidRPr="00EF6097">
        <w:rPr>
          <w:sz w:val="28"/>
          <w:szCs w:val="28"/>
          <w:lang w:val="uk-UA"/>
        </w:rPr>
        <w:t>при</w:t>
      </w:r>
      <w:r w:rsidR="00743BE5" w:rsidRPr="00EF6097">
        <w:rPr>
          <w:sz w:val="28"/>
          <w:szCs w:val="28"/>
          <w:lang w:val="uk-UA"/>
        </w:rPr>
        <w:t xml:space="preserve"> деклар</w:t>
      </w:r>
      <w:r w:rsidR="00A727F4" w:rsidRPr="00EF6097">
        <w:rPr>
          <w:sz w:val="28"/>
          <w:szCs w:val="28"/>
          <w:lang w:val="uk-UA"/>
        </w:rPr>
        <w:t>уванні</w:t>
      </w:r>
      <w:r w:rsidR="00743BE5" w:rsidRPr="00EF6097">
        <w:rPr>
          <w:sz w:val="28"/>
          <w:szCs w:val="28"/>
          <w:lang w:val="uk-UA"/>
        </w:rPr>
        <w:t xml:space="preserve"> майнов</w:t>
      </w:r>
      <w:r w:rsidR="00A727F4" w:rsidRPr="00EF6097">
        <w:rPr>
          <w:sz w:val="28"/>
          <w:szCs w:val="28"/>
          <w:lang w:val="uk-UA"/>
        </w:rPr>
        <w:t>ого</w:t>
      </w:r>
      <w:r w:rsidR="00743BE5" w:rsidRPr="00EF6097">
        <w:rPr>
          <w:sz w:val="28"/>
          <w:szCs w:val="28"/>
          <w:lang w:val="uk-UA"/>
        </w:rPr>
        <w:t xml:space="preserve"> стан</w:t>
      </w:r>
      <w:r w:rsidR="00A727F4" w:rsidRPr="00EF6097">
        <w:rPr>
          <w:sz w:val="28"/>
          <w:szCs w:val="28"/>
          <w:lang w:val="uk-UA"/>
        </w:rPr>
        <w:t>у</w:t>
      </w:r>
      <w:r w:rsidR="00743BE5" w:rsidRPr="00EF6097">
        <w:rPr>
          <w:sz w:val="28"/>
          <w:szCs w:val="28"/>
          <w:lang w:val="uk-UA"/>
        </w:rPr>
        <w:t xml:space="preserve"> та доход</w:t>
      </w:r>
      <w:r w:rsidR="00A727F4" w:rsidRPr="00EF6097">
        <w:rPr>
          <w:sz w:val="28"/>
          <w:szCs w:val="28"/>
          <w:lang w:val="uk-UA"/>
        </w:rPr>
        <w:t>ів</w:t>
      </w:r>
      <w:r w:rsidR="00743BE5" w:rsidRPr="00EF6097">
        <w:rPr>
          <w:sz w:val="28"/>
          <w:szCs w:val="28"/>
          <w:lang w:val="uk-UA"/>
        </w:rPr>
        <w:t xml:space="preserve"> </w:t>
      </w:r>
      <w:r w:rsidR="00A51A01">
        <w:rPr>
          <w:sz w:val="28"/>
          <w:szCs w:val="28"/>
          <w:lang w:val="uk-UA"/>
        </w:rPr>
        <w:t>за</w:t>
      </w:r>
      <w:r w:rsidR="00743BE5" w:rsidRPr="00EF6097">
        <w:rPr>
          <w:sz w:val="28"/>
          <w:szCs w:val="28"/>
          <w:lang w:val="uk-UA"/>
        </w:rPr>
        <w:t xml:space="preserve"> об’єктам</w:t>
      </w:r>
      <w:r w:rsidR="00A51A01">
        <w:rPr>
          <w:sz w:val="28"/>
          <w:szCs w:val="28"/>
          <w:lang w:val="uk-UA"/>
        </w:rPr>
        <w:t>и</w:t>
      </w:r>
      <w:r w:rsidR="00743BE5" w:rsidRPr="00EF6097">
        <w:rPr>
          <w:sz w:val="28"/>
          <w:szCs w:val="28"/>
          <w:lang w:val="uk-UA"/>
        </w:rPr>
        <w:t xml:space="preserve"> оподаткування, що використовуються в господарській діяльності. </w:t>
      </w:r>
    </w:p>
    <w:p w:rsidR="0034367C" w:rsidRPr="00EF6097" w:rsidRDefault="00B42C02" w:rsidP="009F27A0">
      <w:pPr>
        <w:ind w:firstLine="567"/>
        <w:jc w:val="both"/>
        <w:rPr>
          <w:bCs/>
          <w:snapToGrid w:val="0"/>
          <w:color w:val="000000"/>
          <w:sz w:val="28"/>
          <w:szCs w:val="28"/>
          <w:lang w:val="uk-UA"/>
        </w:rPr>
      </w:pPr>
      <w:r w:rsidRPr="00EF6097">
        <w:rPr>
          <w:bCs/>
          <w:color w:val="000000" w:themeColor="text1"/>
          <w:sz w:val="28"/>
          <w:szCs w:val="28"/>
          <w:lang w:val="uk-UA"/>
        </w:rPr>
        <w:t>Доповнюється</w:t>
      </w:r>
      <w:r w:rsidR="00C36E93" w:rsidRPr="00EF6097">
        <w:rPr>
          <w:bCs/>
          <w:color w:val="000000" w:themeColor="text1"/>
          <w:sz w:val="28"/>
          <w:szCs w:val="28"/>
          <w:lang w:val="uk-UA"/>
        </w:rPr>
        <w:t xml:space="preserve"> новий </w:t>
      </w:r>
      <w:r w:rsidR="00C36E93" w:rsidRPr="00EF6097">
        <w:rPr>
          <w:bCs/>
          <w:color w:val="000000"/>
          <w:sz w:val="28"/>
          <w:szCs w:val="28"/>
          <w:lang w:val="uk-UA"/>
        </w:rPr>
        <w:t>критерій ризику високого ступеню «</w:t>
      </w:r>
      <w:r w:rsidR="0034367C" w:rsidRPr="00EF6097">
        <w:rPr>
          <w:bCs/>
          <w:snapToGrid w:val="0"/>
          <w:color w:val="000000"/>
          <w:sz w:val="28"/>
          <w:szCs w:val="28"/>
          <w:lang w:val="uk-UA"/>
        </w:rPr>
        <w:t>обсяг придбання, без податку на додану вартість, відображений у податкових деклараціях з податку на додану вартість, становить 75 або більше відсотків обсягу постачання, без податку на додану вартість, відображеного у податкових деклараціях з податку на додану вартість</w:t>
      </w:r>
      <w:r w:rsidR="00F86FF2" w:rsidRPr="00EF6097">
        <w:rPr>
          <w:bCs/>
          <w:snapToGrid w:val="0"/>
          <w:color w:val="000000"/>
          <w:sz w:val="28"/>
          <w:szCs w:val="28"/>
          <w:lang w:val="uk-UA"/>
        </w:rPr>
        <w:t xml:space="preserve">» </w:t>
      </w:r>
    </w:p>
    <w:p w:rsidR="00F86FF2" w:rsidRPr="00EF6097" w:rsidRDefault="00F86FF2" w:rsidP="009F27A0">
      <w:pPr>
        <w:ind w:firstLine="567"/>
        <w:jc w:val="both"/>
        <w:rPr>
          <w:bCs/>
          <w:snapToGrid w:val="0"/>
          <w:color w:val="000000"/>
          <w:sz w:val="28"/>
          <w:szCs w:val="28"/>
          <w:lang w:val="uk-UA"/>
        </w:rPr>
      </w:pP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Використання такого критерію ризику </w:t>
      </w:r>
      <w:r w:rsidR="00A727F4" w:rsidRPr="00EF6097">
        <w:rPr>
          <w:bCs/>
          <w:snapToGrid w:val="0"/>
          <w:color w:val="000000"/>
          <w:sz w:val="28"/>
          <w:szCs w:val="28"/>
          <w:lang w:val="uk-UA"/>
        </w:rPr>
        <w:t>забезпечить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 дослідження походження реалізованого товару платниками податку на додану вартість</w:t>
      </w:r>
      <w:r w:rsidR="00D65C15" w:rsidRPr="00EF6097">
        <w:rPr>
          <w:bCs/>
          <w:snapToGrid w:val="0"/>
          <w:color w:val="000000"/>
          <w:sz w:val="28"/>
          <w:szCs w:val="28"/>
          <w:lang w:val="uk-UA"/>
        </w:rPr>
        <w:t xml:space="preserve"> при проведенні перевірки платника податків</w:t>
      </w:r>
      <w:r w:rsidR="00DE23CE" w:rsidRPr="00EF6097">
        <w:rPr>
          <w:bCs/>
          <w:snapToGrid w:val="0"/>
          <w:color w:val="000000"/>
          <w:sz w:val="28"/>
          <w:szCs w:val="28"/>
          <w:lang w:val="uk-UA"/>
        </w:rPr>
        <w:t xml:space="preserve">, 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оскільки</w:t>
      </w:r>
      <w:r w:rsidR="00DE23CE" w:rsidRPr="00EF6097">
        <w:rPr>
          <w:bCs/>
          <w:snapToGrid w:val="0"/>
          <w:color w:val="000000"/>
          <w:sz w:val="28"/>
          <w:szCs w:val="28"/>
          <w:lang w:val="uk-UA"/>
        </w:rPr>
        <w:t xml:space="preserve"> задекларована інформація щодо </w:t>
      </w:r>
      <w:r w:rsidR="00D65C15" w:rsidRPr="00EF6097">
        <w:rPr>
          <w:bCs/>
          <w:snapToGrid w:val="0"/>
          <w:color w:val="000000"/>
          <w:sz w:val="28"/>
          <w:szCs w:val="28"/>
          <w:lang w:val="uk-UA"/>
        </w:rPr>
        <w:t>операцій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 з придбання товарів, послуг та необоротних активів на митній території України за нульовою ставкою або звільнен</w:t>
      </w:r>
      <w:r w:rsidR="00D65C15" w:rsidRPr="00EF6097">
        <w:rPr>
          <w:bCs/>
          <w:snapToGrid w:val="0"/>
          <w:color w:val="000000"/>
          <w:sz w:val="28"/>
          <w:szCs w:val="28"/>
          <w:lang w:val="uk-UA"/>
        </w:rPr>
        <w:t>их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 від оподаткування </w:t>
      </w:r>
      <w:r w:rsidR="00DE23CE" w:rsidRPr="00EF6097">
        <w:rPr>
          <w:bCs/>
          <w:snapToGrid w:val="0"/>
          <w:color w:val="000000"/>
          <w:sz w:val="28"/>
          <w:szCs w:val="28"/>
          <w:lang w:val="uk-UA"/>
        </w:rPr>
        <w:t>не надає можливості для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 повн</w:t>
      </w:r>
      <w:r w:rsidR="00DE23CE" w:rsidRPr="00EF6097">
        <w:rPr>
          <w:bCs/>
          <w:snapToGrid w:val="0"/>
          <w:color w:val="000000"/>
          <w:sz w:val="28"/>
          <w:szCs w:val="28"/>
          <w:lang w:val="uk-UA"/>
        </w:rPr>
        <w:t>ого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 дослідження походження товару, що 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на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>дал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і</w:t>
      </w:r>
      <w:r w:rsidRPr="00EF6097">
        <w:rPr>
          <w:bCs/>
          <w:snapToGrid w:val="0"/>
          <w:color w:val="000000"/>
          <w:sz w:val="28"/>
          <w:szCs w:val="28"/>
          <w:lang w:val="uk-UA"/>
        </w:rPr>
        <w:t xml:space="preserve"> реалізується за основною ставкою.</w:t>
      </w:r>
    </w:p>
    <w:p w:rsidR="009846EA" w:rsidRPr="00EF6097" w:rsidRDefault="00B42C02" w:rsidP="009F27A0">
      <w:pPr>
        <w:ind w:firstLine="567"/>
        <w:jc w:val="both"/>
        <w:rPr>
          <w:snapToGrid w:val="0"/>
          <w:color w:val="000000" w:themeColor="text1"/>
          <w:sz w:val="28"/>
          <w:szCs w:val="28"/>
          <w:lang w:val="uk-UA"/>
        </w:rPr>
      </w:pPr>
      <w:r w:rsidRPr="00EF6097">
        <w:rPr>
          <w:bCs/>
          <w:color w:val="000000" w:themeColor="text1"/>
          <w:sz w:val="28"/>
          <w:szCs w:val="28"/>
          <w:lang w:val="uk-UA"/>
        </w:rPr>
        <w:t>Доповнюється</w:t>
      </w:r>
      <w:r w:rsidR="00220831" w:rsidRPr="00EF6097">
        <w:rPr>
          <w:bCs/>
          <w:color w:val="000000" w:themeColor="text1"/>
          <w:sz w:val="28"/>
          <w:szCs w:val="28"/>
          <w:lang w:val="uk-UA"/>
        </w:rPr>
        <w:t xml:space="preserve"> новий </w:t>
      </w:r>
      <w:r w:rsidR="00220831" w:rsidRPr="00EF6097">
        <w:rPr>
          <w:bCs/>
          <w:color w:val="000000"/>
          <w:sz w:val="28"/>
          <w:szCs w:val="28"/>
          <w:lang w:val="uk-UA"/>
        </w:rPr>
        <w:t>критерій ризику високого ступен</w:t>
      </w:r>
      <w:r w:rsidR="00A51A01">
        <w:rPr>
          <w:bCs/>
          <w:color w:val="000000"/>
          <w:sz w:val="28"/>
          <w:szCs w:val="28"/>
          <w:lang w:val="uk-UA"/>
        </w:rPr>
        <w:t>я</w:t>
      </w:r>
      <w:r w:rsidR="00220831" w:rsidRPr="00EF6097">
        <w:rPr>
          <w:bCs/>
          <w:color w:val="000000"/>
          <w:sz w:val="28"/>
          <w:szCs w:val="28"/>
          <w:lang w:val="uk-UA"/>
        </w:rPr>
        <w:t xml:space="preserve"> «</w:t>
      </w:r>
      <w:r w:rsidR="00220831" w:rsidRPr="00EF6097">
        <w:rPr>
          <w:bCs/>
          <w:snapToGrid w:val="0"/>
          <w:color w:val="000000"/>
          <w:sz w:val="28"/>
          <w:szCs w:val="28"/>
          <w:lang w:val="uk-UA"/>
        </w:rPr>
        <w:t xml:space="preserve">включення до складу витрат 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у</w:t>
      </w:r>
      <w:r w:rsidR="00220831" w:rsidRPr="00EF6097">
        <w:rPr>
          <w:bCs/>
          <w:snapToGrid w:val="0"/>
          <w:color w:val="000000"/>
          <w:sz w:val="28"/>
          <w:szCs w:val="28"/>
          <w:lang w:val="uk-UA"/>
        </w:rPr>
        <w:t xml:space="preserve"> податковій декларації про майновий стан і доходи сум амортизаційних відрахувань 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за</w:t>
      </w:r>
      <w:r w:rsidR="00220831" w:rsidRPr="00EF6097">
        <w:rPr>
          <w:bCs/>
          <w:snapToGrid w:val="0"/>
          <w:color w:val="000000"/>
          <w:sz w:val="28"/>
          <w:szCs w:val="28"/>
          <w:lang w:val="uk-UA"/>
        </w:rPr>
        <w:t xml:space="preserve"> відсутності відомостей щодо наявності власних об’єктів оподаткування»</w:t>
      </w:r>
      <w:r w:rsidR="00961879" w:rsidRPr="00EF6097">
        <w:rPr>
          <w:bCs/>
          <w:snapToGrid w:val="0"/>
          <w:color w:val="000000"/>
          <w:sz w:val="28"/>
          <w:szCs w:val="28"/>
          <w:lang w:val="uk-UA"/>
        </w:rPr>
        <w:t xml:space="preserve">, 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оскільки</w:t>
      </w:r>
      <w:r w:rsidR="00961879" w:rsidRPr="00EF6097">
        <w:rPr>
          <w:bCs/>
          <w:snapToGrid w:val="0"/>
          <w:color w:val="000000"/>
          <w:sz w:val="28"/>
          <w:szCs w:val="28"/>
          <w:lang w:val="uk-UA"/>
        </w:rPr>
        <w:t xml:space="preserve"> </w:t>
      </w:r>
      <w:r w:rsidR="009846EA" w:rsidRPr="00EF6097">
        <w:rPr>
          <w:snapToGrid w:val="0"/>
          <w:color w:val="000000" w:themeColor="text1"/>
          <w:sz w:val="28"/>
          <w:szCs w:val="28"/>
          <w:lang w:val="uk-UA"/>
        </w:rPr>
        <w:t xml:space="preserve">неподання платником </w:t>
      </w:r>
      <w:r w:rsidR="0029189B" w:rsidRPr="00EF6097">
        <w:rPr>
          <w:snapToGrid w:val="0"/>
          <w:color w:val="000000" w:themeColor="text1"/>
          <w:sz w:val="28"/>
          <w:szCs w:val="28"/>
          <w:lang w:val="uk-UA"/>
        </w:rPr>
        <w:t>відомостей</w:t>
      </w:r>
      <w:r w:rsidR="009846EA" w:rsidRPr="00EF6097">
        <w:rPr>
          <w:snapToGrid w:val="0"/>
          <w:color w:val="000000" w:themeColor="text1"/>
          <w:sz w:val="28"/>
          <w:szCs w:val="28"/>
          <w:lang w:val="uk-UA"/>
        </w:rPr>
        <w:t xml:space="preserve"> про об’єкти оподаткування і об’єкти, пов’язані з оподаткуванням</w:t>
      </w:r>
      <w:r w:rsidR="00546D7D" w:rsidRPr="00EF6097">
        <w:rPr>
          <w:snapToGrid w:val="0"/>
          <w:color w:val="000000" w:themeColor="text1"/>
          <w:sz w:val="28"/>
          <w:szCs w:val="28"/>
          <w:lang w:val="uk-UA"/>
        </w:rPr>
        <w:t>,</w:t>
      </w:r>
      <w:r w:rsidR="009846EA" w:rsidRPr="00EF6097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546D7D" w:rsidRPr="00EF6097">
        <w:rPr>
          <w:snapToGrid w:val="0"/>
          <w:color w:val="000000" w:themeColor="text1"/>
          <w:sz w:val="28"/>
          <w:szCs w:val="28"/>
          <w:lang w:val="uk-UA"/>
        </w:rPr>
        <w:t xml:space="preserve">та одночасне </w:t>
      </w:r>
      <w:r w:rsidR="009846EA" w:rsidRPr="00EF6097">
        <w:rPr>
          <w:snapToGrid w:val="0"/>
          <w:color w:val="000000" w:themeColor="text1"/>
          <w:sz w:val="28"/>
          <w:szCs w:val="28"/>
          <w:lang w:val="uk-UA"/>
        </w:rPr>
        <w:t>декларуванн</w:t>
      </w:r>
      <w:r w:rsidR="00546D7D" w:rsidRPr="00EF6097">
        <w:rPr>
          <w:snapToGrid w:val="0"/>
          <w:color w:val="000000" w:themeColor="text1"/>
          <w:sz w:val="28"/>
          <w:szCs w:val="28"/>
          <w:lang w:val="uk-UA"/>
        </w:rPr>
        <w:t>я</w:t>
      </w:r>
      <w:r w:rsidR="009846EA" w:rsidRPr="00EF6097">
        <w:rPr>
          <w:snapToGrid w:val="0"/>
          <w:color w:val="000000" w:themeColor="text1"/>
          <w:sz w:val="28"/>
          <w:szCs w:val="28"/>
          <w:lang w:val="uk-UA"/>
        </w:rPr>
        <w:t xml:space="preserve"> амортизаційних відрахувань</w:t>
      </w:r>
      <w:r w:rsidR="00546D7D" w:rsidRPr="00EF6097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EB2673" w:rsidRPr="00EF6097">
        <w:rPr>
          <w:snapToGrid w:val="0"/>
          <w:color w:val="000000" w:themeColor="text1"/>
          <w:sz w:val="28"/>
          <w:szCs w:val="28"/>
          <w:lang w:val="uk-UA"/>
        </w:rPr>
        <w:t>з їх</w:t>
      </w:r>
      <w:r w:rsidR="00A51A01">
        <w:rPr>
          <w:snapToGrid w:val="0"/>
          <w:color w:val="000000" w:themeColor="text1"/>
          <w:sz w:val="28"/>
          <w:szCs w:val="28"/>
          <w:lang w:val="uk-UA"/>
        </w:rPr>
        <w:t>ньої</w:t>
      </w:r>
      <w:r w:rsidR="00EB2673" w:rsidRPr="00EF6097">
        <w:rPr>
          <w:snapToGrid w:val="0"/>
          <w:color w:val="000000" w:themeColor="text1"/>
          <w:sz w:val="28"/>
          <w:szCs w:val="28"/>
          <w:lang w:val="uk-UA"/>
        </w:rPr>
        <w:t xml:space="preserve"> вартості </w:t>
      </w:r>
      <w:r w:rsidR="00240745" w:rsidRPr="00EF6097">
        <w:rPr>
          <w:snapToGrid w:val="0"/>
          <w:color w:val="000000" w:themeColor="text1"/>
          <w:sz w:val="28"/>
          <w:szCs w:val="28"/>
          <w:lang w:val="uk-UA"/>
        </w:rPr>
        <w:t>може бути</w:t>
      </w:r>
      <w:r w:rsidR="00855B4F" w:rsidRPr="00EF6097">
        <w:rPr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240745" w:rsidRPr="00EF6097">
        <w:rPr>
          <w:snapToGrid w:val="0"/>
          <w:color w:val="000000" w:themeColor="text1"/>
          <w:sz w:val="28"/>
          <w:szCs w:val="28"/>
          <w:lang w:val="uk-UA"/>
        </w:rPr>
        <w:t xml:space="preserve">ймовірним </w:t>
      </w:r>
      <w:r w:rsidR="00855B4F" w:rsidRPr="00EF6097">
        <w:rPr>
          <w:snapToGrid w:val="0"/>
          <w:color w:val="000000" w:themeColor="text1"/>
          <w:sz w:val="28"/>
          <w:szCs w:val="28"/>
          <w:lang w:val="uk-UA"/>
        </w:rPr>
        <w:t xml:space="preserve">ризиком </w:t>
      </w:r>
      <w:r w:rsidR="00546D7D" w:rsidRPr="00EF6097">
        <w:rPr>
          <w:snapToGrid w:val="0"/>
          <w:color w:val="000000" w:themeColor="text1"/>
          <w:sz w:val="28"/>
          <w:szCs w:val="28"/>
          <w:lang w:val="uk-UA"/>
        </w:rPr>
        <w:t xml:space="preserve">оптимізації </w:t>
      </w:r>
      <w:r w:rsidR="00240745" w:rsidRPr="00EF6097">
        <w:rPr>
          <w:snapToGrid w:val="0"/>
          <w:color w:val="000000" w:themeColor="text1"/>
          <w:sz w:val="28"/>
          <w:szCs w:val="28"/>
          <w:lang w:val="uk-UA"/>
        </w:rPr>
        <w:t>податкових зобов’язань</w:t>
      </w:r>
      <w:r w:rsidR="000E3266" w:rsidRPr="00EF6097">
        <w:rPr>
          <w:snapToGrid w:val="0"/>
          <w:color w:val="000000" w:themeColor="text1"/>
          <w:sz w:val="28"/>
          <w:szCs w:val="28"/>
          <w:lang w:val="uk-UA"/>
        </w:rPr>
        <w:t>.</w:t>
      </w:r>
    </w:p>
    <w:p w:rsidR="0034367C" w:rsidRPr="00EF6097" w:rsidRDefault="004125A4" w:rsidP="009F27A0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bCs/>
          <w:color w:val="000000"/>
          <w:sz w:val="28"/>
          <w:szCs w:val="28"/>
          <w:lang w:val="uk-UA"/>
        </w:rPr>
        <w:t>Уточняється</w:t>
      </w:r>
      <w:r w:rsidR="004E3858" w:rsidRPr="00EF6097">
        <w:rPr>
          <w:bCs/>
          <w:color w:val="000000"/>
          <w:sz w:val="28"/>
          <w:szCs w:val="28"/>
          <w:lang w:val="uk-UA"/>
        </w:rPr>
        <w:t xml:space="preserve"> к</w:t>
      </w:r>
      <w:r w:rsidR="005805B0" w:rsidRPr="00EF6097">
        <w:rPr>
          <w:bCs/>
          <w:color w:val="000000"/>
          <w:sz w:val="28"/>
          <w:szCs w:val="28"/>
          <w:lang w:val="uk-UA"/>
        </w:rPr>
        <w:t xml:space="preserve">ритерій ризику </w:t>
      </w:r>
      <w:r w:rsidR="004E3858" w:rsidRPr="00EF6097">
        <w:rPr>
          <w:bCs/>
          <w:color w:val="000000"/>
          <w:sz w:val="28"/>
          <w:szCs w:val="28"/>
          <w:lang w:val="uk-UA"/>
        </w:rPr>
        <w:t>середнього</w:t>
      </w:r>
      <w:r w:rsidR="005805B0" w:rsidRPr="00EF6097">
        <w:rPr>
          <w:bCs/>
          <w:color w:val="000000"/>
          <w:sz w:val="28"/>
          <w:szCs w:val="28"/>
          <w:lang w:val="uk-UA"/>
        </w:rPr>
        <w:t xml:space="preserve"> ступен</w:t>
      </w:r>
      <w:r w:rsidR="00A51A01">
        <w:rPr>
          <w:bCs/>
          <w:color w:val="000000"/>
          <w:sz w:val="28"/>
          <w:szCs w:val="28"/>
          <w:lang w:val="uk-UA"/>
        </w:rPr>
        <w:t>я, зокрема викладається в такій</w:t>
      </w:r>
      <w:r w:rsidR="008778DA" w:rsidRPr="00EF6097">
        <w:rPr>
          <w:bCs/>
          <w:color w:val="000000"/>
          <w:sz w:val="28"/>
          <w:szCs w:val="28"/>
          <w:lang w:val="uk-UA"/>
        </w:rPr>
        <w:t xml:space="preserve"> редакці</w:t>
      </w:r>
      <w:r w:rsidR="00A51A01">
        <w:rPr>
          <w:bCs/>
          <w:color w:val="000000"/>
          <w:sz w:val="28"/>
          <w:szCs w:val="28"/>
          <w:lang w:val="uk-UA"/>
        </w:rPr>
        <w:t>ї:</w:t>
      </w:r>
      <w:r w:rsidR="008778DA" w:rsidRPr="00EF6097">
        <w:rPr>
          <w:bCs/>
          <w:color w:val="000000"/>
          <w:sz w:val="28"/>
          <w:szCs w:val="28"/>
          <w:lang w:val="uk-UA"/>
        </w:rPr>
        <w:t xml:space="preserve"> </w:t>
      </w:r>
      <w:r w:rsidR="005805B0" w:rsidRPr="00EF6097">
        <w:rPr>
          <w:bCs/>
          <w:color w:val="000000"/>
          <w:sz w:val="28"/>
          <w:szCs w:val="28"/>
          <w:lang w:val="uk-UA"/>
        </w:rPr>
        <w:t>«</w:t>
      </w:r>
      <w:r w:rsidR="0034367C" w:rsidRPr="00EF6097">
        <w:rPr>
          <w:bCs/>
          <w:snapToGrid w:val="0"/>
          <w:color w:val="000000"/>
          <w:sz w:val="28"/>
          <w:szCs w:val="28"/>
          <w:lang w:val="uk-UA"/>
        </w:rPr>
        <w:t>кількість</w:t>
      </w:r>
      <w:r w:rsidR="0034367C" w:rsidRPr="00EF6097">
        <w:rPr>
          <w:sz w:val="28"/>
          <w:szCs w:val="28"/>
          <w:lang w:val="uk-UA"/>
        </w:rPr>
        <w:t xml:space="preserve"> найманих працівників менша за кількість зареєстрованих реєстраторів розрахункових операцій (окремо на господарську одиницю) або інших об’єктів </w:t>
      </w:r>
      <w:r w:rsidR="0034367C" w:rsidRPr="00EF6097">
        <w:rPr>
          <w:bCs/>
          <w:snapToGrid w:val="0"/>
          <w:color w:val="000000"/>
          <w:sz w:val="28"/>
          <w:szCs w:val="28"/>
          <w:lang w:val="uk-UA"/>
        </w:rPr>
        <w:t>оподаткування</w:t>
      </w:r>
      <w:r w:rsidR="005805B0" w:rsidRPr="00EF6097">
        <w:rPr>
          <w:bCs/>
          <w:snapToGrid w:val="0"/>
          <w:color w:val="000000"/>
          <w:sz w:val="28"/>
          <w:szCs w:val="28"/>
          <w:lang w:val="uk-UA"/>
        </w:rPr>
        <w:t>»</w:t>
      </w:r>
      <w:r w:rsidR="008778DA" w:rsidRPr="00EF6097">
        <w:rPr>
          <w:bCs/>
          <w:snapToGrid w:val="0"/>
          <w:color w:val="000000"/>
          <w:sz w:val="28"/>
          <w:szCs w:val="28"/>
          <w:lang w:val="uk-UA"/>
        </w:rPr>
        <w:t xml:space="preserve">, в якому </w:t>
      </w:r>
      <w:r w:rsidR="004E3858" w:rsidRPr="00EF6097">
        <w:rPr>
          <w:bCs/>
          <w:snapToGrid w:val="0"/>
          <w:color w:val="000000"/>
          <w:sz w:val="28"/>
          <w:szCs w:val="28"/>
          <w:lang w:val="uk-UA"/>
        </w:rPr>
        <w:t>інформаці</w:t>
      </w:r>
      <w:r w:rsidR="008778DA" w:rsidRPr="00EF6097">
        <w:rPr>
          <w:bCs/>
          <w:snapToGrid w:val="0"/>
          <w:color w:val="000000"/>
          <w:sz w:val="28"/>
          <w:szCs w:val="28"/>
          <w:lang w:val="uk-UA"/>
        </w:rPr>
        <w:t>я щодо транспортних засобів</w:t>
      </w:r>
      <w:r w:rsidR="004E3858" w:rsidRPr="00EF6097">
        <w:rPr>
          <w:bCs/>
          <w:snapToGrid w:val="0"/>
          <w:color w:val="000000"/>
          <w:sz w:val="28"/>
          <w:szCs w:val="28"/>
          <w:lang w:val="uk-UA"/>
        </w:rPr>
        <w:t xml:space="preserve"> </w:t>
      </w:r>
      <w:r w:rsidR="008778DA" w:rsidRPr="00EF6097">
        <w:rPr>
          <w:bCs/>
          <w:snapToGrid w:val="0"/>
          <w:color w:val="000000"/>
          <w:sz w:val="28"/>
          <w:szCs w:val="28"/>
          <w:lang w:val="uk-UA"/>
        </w:rPr>
        <w:t xml:space="preserve">замінюється на інформацію </w:t>
      </w:r>
      <w:r w:rsidR="004E3858" w:rsidRPr="00EF6097">
        <w:rPr>
          <w:bCs/>
          <w:snapToGrid w:val="0"/>
          <w:color w:val="000000"/>
          <w:sz w:val="28"/>
          <w:szCs w:val="28"/>
          <w:lang w:val="uk-UA"/>
        </w:rPr>
        <w:t xml:space="preserve">щодо </w:t>
      </w:r>
      <w:r w:rsidR="004E3858" w:rsidRPr="00EF6097">
        <w:rPr>
          <w:sz w:val="28"/>
          <w:szCs w:val="28"/>
          <w:lang w:val="uk-UA"/>
        </w:rPr>
        <w:t xml:space="preserve">інших об’єктів </w:t>
      </w:r>
      <w:r w:rsidR="004E3858" w:rsidRPr="00EF6097">
        <w:rPr>
          <w:bCs/>
          <w:snapToGrid w:val="0"/>
          <w:color w:val="000000"/>
          <w:sz w:val="28"/>
          <w:szCs w:val="28"/>
          <w:lang w:val="uk-UA"/>
        </w:rPr>
        <w:t xml:space="preserve">оподаткування, 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оскільки</w:t>
      </w:r>
      <w:r w:rsidR="004E3858" w:rsidRPr="00EF6097">
        <w:rPr>
          <w:bCs/>
          <w:snapToGrid w:val="0"/>
          <w:color w:val="000000"/>
          <w:sz w:val="28"/>
          <w:szCs w:val="28"/>
          <w:lang w:val="uk-UA"/>
        </w:rPr>
        <w:t xml:space="preserve"> </w:t>
      </w:r>
      <w:r w:rsidR="004E3858" w:rsidRPr="00EF6097">
        <w:rPr>
          <w:sz w:val="28"/>
          <w:szCs w:val="28"/>
          <w:lang w:val="uk-UA"/>
        </w:rPr>
        <w:t>реєстратор розрахункової операції реєструється відповідно до об’єкт</w:t>
      </w:r>
      <w:r w:rsidR="003C2D86" w:rsidRPr="00EF6097">
        <w:rPr>
          <w:sz w:val="28"/>
          <w:szCs w:val="28"/>
          <w:lang w:val="uk-UA"/>
        </w:rPr>
        <w:t>ів</w:t>
      </w:r>
      <w:r w:rsidR="004E3858" w:rsidRPr="00EF6097">
        <w:rPr>
          <w:sz w:val="28"/>
          <w:szCs w:val="28"/>
          <w:lang w:val="uk-UA"/>
        </w:rPr>
        <w:t xml:space="preserve"> оподаткування платників податків, тому необхідно </w:t>
      </w:r>
      <w:r w:rsidR="003C2D86" w:rsidRPr="00EF6097">
        <w:rPr>
          <w:sz w:val="28"/>
          <w:szCs w:val="28"/>
          <w:lang w:val="uk-UA"/>
        </w:rPr>
        <w:t xml:space="preserve">для уточнення критерію </w:t>
      </w:r>
      <w:r w:rsidR="004E3858" w:rsidRPr="00EF6097">
        <w:rPr>
          <w:sz w:val="28"/>
          <w:szCs w:val="28"/>
          <w:lang w:val="uk-UA"/>
        </w:rPr>
        <w:t xml:space="preserve">враховувати штатну чисельність працівників </w:t>
      </w:r>
      <w:r w:rsidR="003C2D86" w:rsidRPr="00EF6097">
        <w:rPr>
          <w:sz w:val="28"/>
          <w:szCs w:val="28"/>
          <w:lang w:val="uk-UA"/>
        </w:rPr>
        <w:t xml:space="preserve">таких </w:t>
      </w:r>
      <w:r w:rsidR="004E3858" w:rsidRPr="00EF6097">
        <w:rPr>
          <w:sz w:val="28"/>
          <w:szCs w:val="28"/>
          <w:lang w:val="uk-UA"/>
        </w:rPr>
        <w:t>об’єкт</w:t>
      </w:r>
      <w:r w:rsidR="003C2D86" w:rsidRPr="00EF6097">
        <w:rPr>
          <w:sz w:val="28"/>
          <w:szCs w:val="28"/>
          <w:lang w:val="uk-UA"/>
        </w:rPr>
        <w:t>ів</w:t>
      </w:r>
      <w:r w:rsidR="004E3858" w:rsidRPr="00EF6097">
        <w:rPr>
          <w:sz w:val="28"/>
          <w:szCs w:val="28"/>
          <w:lang w:val="uk-UA"/>
        </w:rPr>
        <w:t xml:space="preserve"> оподаткування.</w:t>
      </w:r>
    </w:p>
    <w:p w:rsidR="00B42C02" w:rsidRPr="00EF6097" w:rsidRDefault="004125A4" w:rsidP="009F27A0">
      <w:pPr>
        <w:ind w:firstLine="567"/>
        <w:jc w:val="both"/>
        <w:rPr>
          <w:bCs/>
          <w:snapToGrid w:val="0"/>
          <w:color w:val="000000"/>
          <w:sz w:val="28"/>
          <w:szCs w:val="28"/>
          <w:lang w:val="uk-UA"/>
        </w:rPr>
      </w:pPr>
      <w:r w:rsidRPr="00EF6097">
        <w:rPr>
          <w:bCs/>
          <w:color w:val="000000" w:themeColor="text1"/>
          <w:sz w:val="28"/>
          <w:szCs w:val="28"/>
          <w:lang w:val="uk-UA"/>
        </w:rPr>
        <w:t xml:space="preserve">Доповнюється новий </w:t>
      </w:r>
      <w:r w:rsidRPr="00EF6097">
        <w:rPr>
          <w:bCs/>
          <w:color w:val="000000"/>
          <w:sz w:val="28"/>
          <w:szCs w:val="28"/>
          <w:lang w:val="uk-UA"/>
        </w:rPr>
        <w:t>критерій ризику середнього ступеню «</w:t>
      </w:r>
      <w:r w:rsidR="0070455C" w:rsidRPr="00EF6097">
        <w:rPr>
          <w:bCs/>
          <w:snapToGrid w:val="0"/>
          <w:color w:val="000000"/>
          <w:sz w:val="28"/>
          <w:szCs w:val="28"/>
          <w:lang w:val="uk-UA"/>
        </w:rPr>
        <w:t>декларування доходу понад 220 розмірів мінімальної заробітної плати,</w:t>
      </w:r>
      <w:r w:rsidR="0070455C" w:rsidRPr="00EF6097">
        <w:rPr>
          <w:lang w:val="uk-UA"/>
        </w:rPr>
        <w:t xml:space="preserve"> </w:t>
      </w:r>
      <w:r w:rsidR="0070455C" w:rsidRPr="00EF6097">
        <w:rPr>
          <w:sz w:val="28"/>
          <w:szCs w:val="28"/>
          <w:lang w:val="uk-UA"/>
        </w:rPr>
        <w:t xml:space="preserve">встановленої законом на </w:t>
      </w:r>
      <w:r w:rsidR="00A51A01">
        <w:rPr>
          <w:sz w:val="28"/>
          <w:szCs w:val="28"/>
          <w:lang w:val="uk-UA"/>
        </w:rPr>
        <w:t>0</w:t>
      </w:r>
      <w:r w:rsidR="0070455C" w:rsidRPr="00EF6097">
        <w:rPr>
          <w:sz w:val="28"/>
          <w:szCs w:val="28"/>
          <w:lang w:val="uk-UA"/>
        </w:rPr>
        <w:t>1 січня податкового (звітного) року,</w:t>
      </w:r>
      <w:r w:rsidR="0070455C" w:rsidRPr="00EF6097">
        <w:rPr>
          <w:bCs/>
          <w:snapToGrid w:val="0"/>
          <w:color w:val="000000"/>
          <w:sz w:val="28"/>
          <w:szCs w:val="28"/>
          <w:lang w:val="uk-UA"/>
        </w:rPr>
        <w:t xml:space="preserve"> 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за</w:t>
      </w:r>
      <w:r w:rsidR="0070455C" w:rsidRPr="00EF6097">
        <w:rPr>
          <w:bCs/>
          <w:snapToGrid w:val="0"/>
          <w:color w:val="000000"/>
          <w:sz w:val="28"/>
          <w:szCs w:val="28"/>
          <w:lang w:val="uk-UA"/>
        </w:rPr>
        <w:t xml:space="preserve"> відсутності зареєстрованого реєстратора розрахункових операцій та/</w:t>
      </w:r>
      <w:r w:rsidR="0070455C" w:rsidRPr="00EF6097">
        <w:rPr>
          <w:sz w:val="28"/>
          <w:szCs w:val="28"/>
          <w:lang w:val="uk-UA"/>
        </w:rPr>
        <w:t>або програмного реєстратора розрахункових операцій</w:t>
      </w:r>
      <w:r w:rsidR="0070455C" w:rsidRPr="00EF6097">
        <w:rPr>
          <w:bCs/>
          <w:snapToGrid w:val="0"/>
          <w:color w:val="000000"/>
          <w:sz w:val="28"/>
          <w:szCs w:val="28"/>
          <w:lang w:val="uk-UA"/>
        </w:rPr>
        <w:t xml:space="preserve"> та відомостей щодо відкритих банківських рахунків</w:t>
      </w:r>
      <w:r w:rsidR="00B42C02" w:rsidRPr="00EF6097">
        <w:rPr>
          <w:bCs/>
          <w:snapToGrid w:val="0"/>
          <w:color w:val="000000"/>
          <w:sz w:val="28"/>
          <w:szCs w:val="28"/>
          <w:lang w:val="uk-UA"/>
        </w:rPr>
        <w:t>»</w:t>
      </w:r>
      <w:r w:rsidR="00A51A01">
        <w:rPr>
          <w:bCs/>
          <w:snapToGrid w:val="0"/>
          <w:color w:val="000000"/>
          <w:sz w:val="28"/>
          <w:szCs w:val="28"/>
          <w:lang w:val="uk-UA"/>
        </w:rPr>
        <w:t>.</w:t>
      </w:r>
    </w:p>
    <w:p w:rsidR="00B42C02" w:rsidRPr="00EF6097" w:rsidRDefault="00B42C02" w:rsidP="009F27A0">
      <w:pPr>
        <w:widowControl w:val="0"/>
        <w:ind w:firstLine="567"/>
        <w:jc w:val="both"/>
        <w:rPr>
          <w:bCs/>
          <w:snapToGrid w:val="0"/>
          <w:color w:val="000000" w:themeColor="text1"/>
          <w:sz w:val="28"/>
          <w:szCs w:val="28"/>
          <w:lang w:val="uk-UA"/>
        </w:rPr>
      </w:pP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t>Розрахунки фізичних осіб – підприємців здійсню</w:t>
      </w:r>
      <w:r w:rsidR="00A51A01">
        <w:rPr>
          <w:bCs/>
          <w:snapToGrid w:val="0"/>
          <w:color w:val="000000" w:themeColor="text1"/>
          <w:sz w:val="28"/>
          <w:szCs w:val="28"/>
          <w:lang w:val="uk-UA"/>
        </w:rPr>
        <w:t>ю</w:t>
      </w: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ться у грошовій формі (готівковій та/або безготівковій) за допомогою розрахункових документів у електронному або паперовому вигляді. </w:t>
      </w:r>
    </w:p>
    <w:p w:rsidR="00B42C02" w:rsidRPr="00EF6097" w:rsidRDefault="00B42C02" w:rsidP="009F27A0">
      <w:pPr>
        <w:widowControl w:val="0"/>
        <w:ind w:firstLine="567"/>
        <w:jc w:val="both"/>
        <w:rPr>
          <w:bCs/>
          <w:snapToGrid w:val="0"/>
          <w:color w:val="000000" w:themeColor="text1"/>
          <w:sz w:val="28"/>
          <w:szCs w:val="28"/>
          <w:lang w:val="uk-UA"/>
        </w:rPr>
      </w:pP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Відповідно до п. 61 Розділу Х Перехідних положень </w:t>
      </w:r>
      <w:r w:rsidR="00FD1E6C" w:rsidRPr="00EF6097">
        <w:rPr>
          <w:bCs/>
          <w:snapToGrid w:val="0"/>
          <w:color w:val="000000" w:themeColor="text1"/>
          <w:sz w:val="28"/>
          <w:szCs w:val="28"/>
          <w:lang w:val="uk-UA"/>
        </w:rPr>
        <w:t>Кодексу</w:t>
      </w: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реєстратори розрахункових операцій та/або програмні реєстратори розрахункових операцій не застосовується платниками єдиного податку другої – четвертої груп (фізичними особами – підприємцями) незалежно від обраного виду діяльності, обсяг доходу яких протягом календарного року не перевищує до 01 січня 2021 </w:t>
      </w: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lastRenderedPageBreak/>
        <w:t>року – 1 000 000 грн, з 01 січня 2021 року до 01 січня 2022 року – 220 розмірів мінімальної заробітної плати,</w:t>
      </w:r>
      <w:r w:rsidR="0070455C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встановленої законом на </w:t>
      </w:r>
      <w:r w:rsidR="00A51A01">
        <w:rPr>
          <w:bCs/>
          <w:snapToGrid w:val="0"/>
          <w:color w:val="000000" w:themeColor="text1"/>
          <w:sz w:val="28"/>
          <w:szCs w:val="28"/>
          <w:lang w:val="uk-UA"/>
        </w:rPr>
        <w:t>0</w:t>
      </w:r>
      <w:r w:rsidR="0070455C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1 січня податкового (звітного) року, незалежно від обраного виду діяльності, </w:t>
      </w: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t>крім тих, які здійснюють: реалізацію технічно складних побутових товарів, що підлягають гарантійному ремонту, реалізацію лікарських засобів</w:t>
      </w:r>
      <w:r w:rsidR="0070455C" w:rsidRPr="00EF6097">
        <w:rPr>
          <w:bCs/>
          <w:snapToGrid w:val="0"/>
          <w:color w:val="000000" w:themeColor="text1"/>
          <w:sz w:val="28"/>
          <w:szCs w:val="28"/>
          <w:lang w:val="uk-UA"/>
        </w:rPr>
        <w:t>, виборів медичного призначення</w:t>
      </w: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та надання послуг у сфері охорони здоров’я, </w:t>
      </w:r>
      <w:r w:rsidR="0070455C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реалізацію ювелірних та побутових виробів з дорогоцінних металів, дорогоцінного каміння, дорогоцінного каміння органогенного утворення та </w:t>
      </w:r>
      <w:proofErr w:type="spellStart"/>
      <w:r w:rsidR="0070455C" w:rsidRPr="00EF6097">
        <w:rPr>
          <w:bCs/>
          <w:snapToGrid w:val="0"/>
          <w:color w:val="000000" w:themeColor="text1"/>
          <w:sz w:val="28"/>
          <w:szCs w:val="28"/>
          <w:lang w:val="uk-UA"/>
        </w:rPr>
        <w:t>напівдорогоцінного</w:t>
      </w:r>
      <w:proofErr w:type="spellEnd"/>
      <w:r w:rsidR="0070455C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каміння</w:t>
      </w: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t>.</w:t>
      </w:r>
    </w:p>
    <w:p w:rsidR="00B42C02" w:rsidRPr="00EF6097" w:rsidRDefault="003C3404" w:rsidP="009F27A0">
      <w:pPr>
        <w:widowControl w:val="0"/>
        <w:ind w:firstLine="567"/>
        <w:jc w:val="both"/>
        <w:rPr>
          <w:bCs/>
          <w:snapToGrid w:val="0"/>
          <w:color w:val="000000" w:themeColor="text1"/>
          <w:sz w:val="28"/>
          <w:szCs w:val="28"/>
          <w:lang w:val="uk-UA"/>
        </w:rPr>
      </w:pP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t>Також</w:t>
      </w:r>
      <w:r w:rsidR="00B42C02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згідно </w:t>
      </w:r>
      <w:r w:rsidR="00A51A01">
        <w:rPr>
          <w:bCs/>
          <w:snapToGrid w:val="0"/>
          <w:color w:val="000000" w:themeColor="text1"/>
          <w:sz w:val="28"/>
          <w:szCs w:val="28"/>
          <w:lang w:val="uk-UA"/>
        </w:rPr>
        <w:t xml:space="preserve">з </w:t>
      </w:r>
      <w:r w:rsidR="00B42C02" w:rsidRPr="00EF6097">
        <w:rPr>
          <w:bCs/>
          <w:snapToGrid w:val="0"/>
          <w:color w:val="000000" w:themeColor="text1"/>
          <w:sz w:val="28"/>
          <w:szCs w:val="28"/>
          <w:lang w:val="uk-UA"/>
        </w:rPr>
        <w:t>вимог</w:t>
      </w:r>
      <w:r w:rsidR="00A51A01">
        <w:rPr>
          <w:bCs/>
          <w:snapToGrid w:val="0"/>
          <w:color w:val="000000" w:themeColor="text1"/>
          <w:sz w:val="28"/>
          <w:szCs w:val="28"/>
          <w:lang w:val="uk-UA"/>
        </w:rPr>
        <w:t>ами</w:t>
      </w:r>
      <w:r w:rsidR="00B42C02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ст. 181 </w:t>
      </w:r>
      <w:r w:rsidRPr="00EF6097">
        <w:rPr>
          <w:bCs/>
          <w:snapToGrid w:val="0"/>
          <w:color w:val="000000" w:themeColor="text1"/>
          <w:sz w:val="28"/>
          <w:szCs w:val="28"/>
          <w:lang w:val="uk-UA"/>
        </w:rPr>
        <w:t>Кодексу</w:t>
      </w:r>
      <w:r w:rsidR="00B42C02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</w:t>
      </w:r>
      <w:r w:rsidR="00A51A01">
        <w:rPr>
          <w:bCs/>
          <w:snapToGrid w:val="0"/>
          <w:color w:val="000000" w:themeColor="text1"/>
          <w:sz w:val="28"/>
          <w:szCs w:val="28"/>
          <w:lang w:val="uk-UA"/>
        </w:rPr>
        <w:t>за</w:t>
      </w:r>
      <w:r w:rsidR="00B42C02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загальн</w:t>
      </w:r>
      <w:r w:rsidR="00A51A01">
        <w:rPr>
          <w:bCs/>
          <w:snapToGrid w:val="0"/>
          <w:color w:val="000000" w:themeColor="text1"/>
          <w:sz w:val="28"/>
          <w:szCs w:val="28"/>
          <w:lang w:val="uk-UA"/>
        </w:rPr>
        <w:t>ої</w:t>
      </w:r>
      <w:r w:rsidR="00B42C02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сум</w:t>
      </w:r>
      <w:r w:rsidR="00A51A01">
        <w:rPr>
          <w:bCs/>
          <w:snapToGrid w:val="0"/>
          <w:color w:val="000000" w:themeColor="text1"/>
          <w:sz w:val="28"/>
          <w:szCs w:val="28"/>
          <w:lang w:val="uk-UA"/>
        </w:rPr>
        <w:t>и</w:t>
      </w:r>
      <w:r w:rsidR="00B42C02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доходу більше 1 000 000 грн суб’єкт господарювання зобов’язаний зареєструватися як платник податку на додану вартість.</w:t>
      </w:r>
    </w:p>
    <w:p w:rsidR="0034367C" w:rsidRPr="00EF6097" w:rsidRDefault="00A51A01" w:rsidP="009F27A0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Отже</w:t>
      </w:r>
      <w:r w:rsidR="003C3404" w:rsidRPr="00EF6097">
        <w:rPr>
          <w:color w:val="000000" w:themeColor="text1"/>
          <w:sz w:val="28"/>
          <w:szCs w:val="28"/>
          <w:lang w:val="uk-UA"/>
        </w:rPr>
        <w:t>, застосування критерію ризику забезпечить дослідження</w:t>
      </w:r>
      <w:r w:rsidR="00615C8C">
        <w:rPr>
          <w:color w:val="000000" w:themeColor="text1"/>
          <w:sz w:val="28"/>
          <w:szCs w:val="28"/>
          <w:lang w:val="uk-UA"/>
        </w:rPr>
        <w:t>,</w:t>
      </w:r>
      <w:r w:rsidR="003C3404" w:rsidRPr="00EF6097">
        <w:rPr>
          <w:color w:val="000000" w:themeColor="text1"/>
          <w:sz w:val="28"/>
          <w:szCs w:val="28"/>
          <w:lang w:val="uk-UA"/>
        </w:rPr>
        <w:t xml:space="preserve"> діяльність та застосування </w:t>
      </w:r>
      <w:r w:rsidR="003C3404" w:rsidRPr="00EF6097">
        <w:rPr>
          <w:bCs/>
          <w:snapToGrid w:val="0"/>
          <w:color w:val="000000" w:themeColor="text1"/>
          <w:sz w:val="28"/>
          <w:szCs w:val="28"/>
          <w:lang w:val="uk-UA"/>
        </w:rPr>
        <w:t>реєстраторів розрахункових операцій та/або програмних реєстратор</w:t>
      </w:r>
      <w:r w:rsidR="00615C8C">
        <w:rPr>
          <w:bCs/>
          <w:snapToGrid w:val="0"/>
          <w:color w:val="000000" w:themeColor="text1"/>
          <w:sz w:val="28"/>
          <w:szCs w:val="28"/>
          <w:lang w:val="uk-UA"/>
        </w:rPr>
        <w:t>ів</w:t>
      </w:r>
      <w:r w:rsidR="003C3404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розрахункових операцій фізичними особами – підприємцями, які є платниками єдиного податку, </w:t>
      </w:r>
      <w:r w:rsidR="00615C8C">
        <w:rPr>
          <w:bCs/>
          <w:snapToGrid w:val="0"/>
          <w:color w:val="000000" w:themeColor="text1"/>
          <w:sz w:val="28"/>
          <w:szCs w:val="28"/>
          <w:lang w:val="uk-UA"/>
        </w:rPr>
        <w:t xml:space="preserve">у </w:t>
      </w:r>
      <w:proofErr w:type="spellStart"/>
      <w:r w:rsidR="00615C8C">
        <w:rPr>
          <w:bCs/>
          <w:snapToGrid w:val="0"/>
          <w:color w:val="000000" w:themeColor="text1"/>
          <w:sz w:val="28"/>
          <w:szCs w:val="28"/>
          <w:lang w:val="uk-UA"/>
        </w:rPr>
        <w:t>разі</w:t>
      </w:r>
      <w:r w:rsidR="003C3404" w:rsidRPr="00EF6097">
        <w:rPr>
          <w:bCs/>
          <w:snapToGrid w:val="0"/>
          <w:color w:val="000000" w:themeColor="text1"/>
          <w:sz w:val="28"/>
          <w:szCs w:val="28"/>
          <w:lang w:val="uk-UA"/>
        </w:rPr>
        <w:t>отриманн</w:t>
      </w:r>
      <w:r w:rsidR="00615C8C">
        <w:rPr>
          <w:bCs/>
          <w:snapToGrid w:val="0"/>
          <w:color w:val="000000" w:themeColor="text1"/>
          <w:sz w:val="28"/>
          <w:szCs w:val="28"/>
          <w:lang w:val="uk-UA"/>
        </w:rPr>
        <w:t>я</w:t>
      </w:r>
      <w:proofErr w:type="spellEnd"/>
      <w:r w:rsidR="003C3404" w:rsidRPr="00EF6097">
        <w:rPr>
          <w:bCs/>
          <w:snapToGrid w:val="0"/>
          <w:color w:val="000000" w:themeColor="text1"/>
          <w:sz w:val="28"/>
          <w:szCs w:val="28"/>
          <w:lang w:val="uk-UA"/>
        </w:rPr>
        <w:t xml:space="preserve"> доходу, обсяг якого перевищує 220 розмірів мінімальної заробітної плати.</w:t>
      </w:r>
    </w:p>
    <w:p w:rsidR="004A2B35" w:rsidRPr="007F3A44" w:rsidRDefault="004A2B35" w:rsidP="00A727F4">
      <w:pPr>
        <w:ind w:firstLine="567"/>
        <w:jc w:val="both"/>
        <w:rPr>
          <w:b/>
          <w:sz w:val="28"/>
          <w:szCs w:val="28"/>
          <w:lang w:val="uk-UA"/>
        </w:rPr>
      </w:pPr>
    </w:p>
    <w:p w:rsidR="00705939" w:rsidRPr="00EF6097" w:rsidRDefault="00705939" w:rsidP="00107142">
      <w:pPr>
        <w:ind w:firstLine="567"/>
        <w:jc w:val="both"/>
        <w:rPr>
          <w:b/>
          <w:sz w:val="28"/>
          <w:szCs w:val="28"/>
          <w:lang w:val="uk-UA"/>
        </w:rPr>
      </w:pPr>
      <w:r w:rsidRPr="00EF6097">
        <w:rPr>
          <w:b/>
          <w:sz w:val="28"/>
          <w:szCs w:val="28"/>
          <w:lang w:val="uk-UA"/>
        </w:rPr>
        <w:t xml:space="preserve">4. Правові аспекти </w:t>
      </w:r>
    </w:p>
    <w:p w:rsidR="00705939" w:rsidRPr="00EF6097" w:rsidRDefault="00A853AF" w:rsidP="00107142">
      <w:pPr>
        <w:tabs>
          <w:tab w:val="left" w:pos="954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EF6097">
        <w:rPr>
          <w:bCs/>
          <w:spacing w:val="-3"/>
          <w:sz w:val="28"/>
          <w:szCs w:val="28"/>
          <w:lang w:val="uk-UA"/>
        </w:rPr>
        <w:t>Про</w:t>
      </w:r>
      <w:r w:rsidR="00615C8C">
        <w:rPr>
          <w:bCs/>
          <w:spacing w:val="-3"/>
          <w:sz w:val="28"/>
          <w:szCs w:val="28"/>
          <w:lang w:val="uk-UA"/>
        </w:rPr>
        <w:t>є</w:t>
      </w:r>
      <w:r w:rsidRPr="00EF6097">
        <w:rPr>
          <w:bCs/>
          <w:spacing w:val="-3"/>
          <w:sz w:val="28"/>
          <w:szCs w:val="28"/>
          <w:lang w:val="uk-UA"/>
        </w:rPr>
        <w:t>кт</w:t>
      </w:r>
      <w:proofErr w:type="spellEnd"/>
      <w:r w:rsidRPr="00EF6097">
        <w:rPr>
          <w:bCs/>
          <w:spacing w:val="-3"/>
          <w:sz w:val="28"/>
          <w:szCs w:val="28"/>
          <w:lang w:val="uk-UA"/>
        </w:rPr>
        <w:t xml:space="preserve"> </w:t>
      </w:r>
      <w:r w:rsidR="00705939" w:rsidRPr="00EF6097">
        <w:rPr>
          <w:bCs/>
          <w:spacing w:val="-3"/>
          <w:sz w:val="28"/>
          <w:szCs w:val="28"/>
          <w:lang w:val="uk-UA"/>
        </w:rPr>
        <w:t>наказу розроблено</w:t>
      </w:r>
      <w:r w:rsidR="00705939" w:rsidRPr="00EF6097">
        <w:rPr>
          <w:spacing w:val="-3"/>
          <w:sz w:val="28"/>
          <w:szCs w:val="28"/>
          <w:lang w:val="uk-UA"/>
        </w:rPr>
        <w:t xml:space="preserve"> відповідно до Кодексу з урахуванням вимог</w:t>
      </w:r>
      <w:r w:rsidR="00705939" w:rsidRPr="00EF6097">
        <w:rPr>
          <w:sz w:val="28"/>
          <w:szCs w:val="28"/>
          <w:lang w:val="uk-UA"/>
        </w:rPr>
        <w:t xml:space="preserve"> постанови Кабінету Міністрів України від 30</w:t>
      </w:r>
      <w:r w:rsidR="00615C8C">
        <w:rPr>
          <w:sz w:val="28"/>
          <w:szCs w:val="28"/>
          <w:lang w:val="uk-UA"/>
        </w:rPr>
        <w:t xml:space="preserve"> вересня </w:t>
      </w:r>
      <w:r w:rsidR="00705939" w:rsidRPr="00EF6097">
        <w:rPr>
          <w:sz w:val="28"/>
          <w:szCs w:val="28"/>
          <w:lang w:val="uk-UA"/>
        </w:rPr>
        <w:t xml:space="preserve">2020 </w:t>
      </w:r>
      <w:r w:rsidR="00615C8C">
        <w:rPr>
          <w:sz w:val="28"/>
          <w:szCs w:val="28"/>
          <w:lang w:val="uk-UA"/>
        </w:rPr>
        <w:t xml:space="preserve">року </w:t>
      </w:r>
      <w:r w:rsidR="00705939" w:rsidRPr="00EF6097">
        <w:rPr>
          <w:sz w:val="28"/>
          <w:szCs w:val="28"/>
          <w:lang w:val="uk-UA"/>
        </w:rPr>
        <w:t>№ 893</w:t>
      </w:r>
      <w:r w:rsidR="00705939" w:rsidRPr="00EF6097">
        <w:rPr>
          <w:sz w:val="28"/>
          <w:szCs w:val="28"/>
          <w:lang w:val="uk-UA" w:eastAsia="uk-UA"/>
        </w:rPr>
        <w:t xml:space="preserve"> </w:t>
      </w:r>
      <w:r w:rsidR="00705939" w:rsidRPr="00EF6097">
        <w:rPr>
          <w:sz w:val="28"/>
          <w:szCs w:val="28"/>
          <w:lang w:val="uk-UA"/>
        </w:rPr>
        <w:t>«Деякі питання територіальних органів Державної податкової служби»,</w:t>
      </w:r>
      <w:r w:rsidR="00705939" w:rsidRPr="00EF6097">
        <w:rPr>
          <w:sz w:val="28"/>
          <w:szCs w:val="28"/>
          <w:lang w:val="uk-UA" w:eastAsia="uk-UA"/>
        </w:rPr>
        <w:t xml:space="preserve"> </w:t>
      </w:r>
      <w:r w:rsidR="00705939" w:rsidRPr="00EF6097">
        <w:rPr>
          <w:sz w:val="28"/>
          <w:szCs w:val="28"/>
          <w:lang w:val="uk-UA"/>
        </w:rPr>
        <w:t>Пріоритетів діяльності ДПС на 2021</w:t>
      </w:r>
      <w:r w:rsidR="00615C8C">
        <w:rPr>
          <w:sz w:val="28"/>
          <w:szCs w:val="28"/>
          <w:lang w:val="uk-UA"/>
        </w:rPr>
        <w:t xml:space="preserve"> </w:t>
      </w:r>
      <w:r w:rsidR="00705939" w:rsidRPr="00EF6097">
        <w:rPr>
          <w:sz w:val="28"/>
          <w:szCs w:val="28"/>
          <w:lang w:val="uk-UA"/>
        </w:rPr>
        <w:t>рік</w:t>
      </w:r>
      <w:r w:rsidR="00556ED8" w:rsidRPr="00EF6097">
        <w:rPr>
          <w:sz w:val="28"/>
          <w:szCs w:val="28"/>
          <w:lang w:val="uk-UA"/>
        </w:rPr>
        <w:t>,</w:t>
      </w:r>
      <w:r w:rsidR="00705939" w:rsidRPr="00EF6097">
        <w:rPr>
          <w:sz w:val="28"/>
          <w:szCs w:val="28"/>
          <w:lang w:val="uk-UA"/>
        </w:rPr>
        <w:t xml:space="preserve"> наказу Міністерства фінансів України від</w:t>
      </w:r>
      <w:r w:rsidR="00404C15" w:rsidRPr="00EF6097">
        <w:rPr>
          <w:sz w:val="28"/>
          <w:szCs w:val="28"/>
          <w:lang w:val="uk-UA"/>
        </w:rPr>
        <w:t> </w:t>
      </w:r>
      <w:r w:rsidR="00705939" w:rsidRPr="00EF6097">
        <w:rPr>
          <w:sz w:val="28"/>
          <w:szCs w:val="28"/>
          <w:lang w:val="uk-UA"/>
        </w:rPr>
        <w:t>02.12.2020 № 734 «Про внесення змін до деяких нормативно-правових актів</w:t>
      </w:r>
      <w:r w:rsidR="00556ED8" w:rsidRPr="00EF6097">
        <w:rPr>
          <w:sz w:val="28"/>
          <w:szCs w:val="28"/>
          <w:lang w:val="uk-UA"/>
        </w:rPr>
        <w:t xml:space="preserve"> Міністерства фінансів України» та постанови Кабінету Міністрів України від</w:t>
      </w:r>
      <w:r w:rsidR="00615C8C">
        <w:rPr>
          <w:sz w:val="28"/>
          <w:szCs w:val="28"/>
          <w:lang w:val="uk-UA"/>
        </w:rPr>
        <w:t xml:space="preserve"> </w:t>
      </w:r>
      <w:r w:rsidR="00556ED8" w:rsidRPr="00EF6097">
        <w:rPr>
          <w:sz w:val="28"/>
          <w:szCs w:val="28"/>
          <w:lang w:val="uk-UA"/>
        </w:rPr>
        <w:t>11</w:t>
      </w:r>
      <w:r w:rsidR="00615C8C">
        <w:rPr>
          <w:sz w:val="28"/>
          <w:szCs w:val="28"/>
          <w:lang w:val="uk-UA"/>
        </w:rPr>
        <w:t xml:space="preserve"> грудня </w:t>
      </w:r>
      <w:r w:rsidR="00556ED8" w:rsidRPr="00EF6097">
        <w:rPr>
          <w:sz w:val="28"/>
          <w:szCs w:val="28"/>
          <w:lang w:val="uk-UA"/>
        </w:rPr>
        <w:t xml:space="preserve">2019 </w:t>
      </w:r>
      <w:r w:rsidR="00615C8C">
        <w:rPr>
          <w:sz w:val="28"/>
          <w:szCs w:val="28"/>
          <w:lang w:val="uk-UA"/>
        </w:rPr>
        <w:t xml:space="preserve">року </w:t>
      </w:r>
      <w:r w:rsidR="00556ED8" w:rsidRPr="00EF6097">
        <w:rPr>
          <w:sz w:val="28"/>
          <w:szCs w:val="28"/>
          <w:lang w:val="uk-UA"/>
        </w:rPr>
        <w:t>№</w:t>
      </w:r>
      <w:r w:rsidR="006F7987" w:rsidRPr="00EF6097">
        <w:rPr>
          <w:sz w:val="28"/>
          <w:szCs w:val="28"/>
          <w:lang w:val="uk-UA"/>
        </w:rPr>
        <w:t> </w:t>
      </w:r>
      <w:r w:rsidR="00556ED8" w:rsidRPr="00EF6097">
        <w:rPr>
          <w:sz w:val="28"/>
          <w:szCs w:val="28"/>
          <w:lang w:val="uk-UA"/>
        </w:rPr>
        <w:t>1165 «Про затвердження порядків з питань зупинення реєстрації податкової накладної/розрахунку коригування в Єдиному реєстрі податкових накладних».</w:t>
      </w:r>
    </w:p>
    <w:p w:rsidR="007A4040" w:rsidRPr="007F3A44" w:rsidRDefault="007A4040" w:rsidP="00107142">
      <w:pPr>
        <w:ind w:firstLine="567"/>
        <w:jc w:val="both"/>
        <w:rPr>
          <w:sz w:val="28"/>
          <w:szCs w:val="28"/>
          <w:lang w:val="uk-UA"/>
        </w:rPr>
      </w:pPr>
    </w:p>
    <w:p w:rsidR="007A4040" w:rsidRPr="00EF6097" w:rsidRDefault="007A4040" w:rsidP="00107142">
      <w:pPr>
        <w:ind w:firstLine="567"/>
        <w:jc w:val="both"/>
        <w:rPr>
          <w:b/>
          <w:sz w:val="28"/>
          <w:szCs w:val="28"/>
          <w:lang w:val="uk-UA"/>
        </w:rPr>
      </w:pPr>
      <w:r w:rsidRPr="00EF6097">
        <w:rPr>
          <w:b/>
          <w:sz w:val="28"/>
          <w:szCs w:val="28"/>
          <w:lang w:val="uk-UA"/>
        </w:rPr>
        <w:t>5. Фінансово-економічне обґрунтування</w:t>
      </w:r>
    </w:p>
    <w:p w:rsidR="007A4040" w:rsidRPr="00EF6097" w:rsidRDefault="007A4040" w:rsidP="00107142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 xml:space="preserve">Реалізація </w:t>
      </w:r>
      <w:proofErr w:type="spellStart"/>
      <w:r w:rsidR="00B94FAF" w:rsidRPr="00EF6097">
        <w:rPr>
          <w:sz w:val="28"/>
          <w:szCs w:val="28"/>
          <w:lang w:val="uk-UA"/>
        </w:rPr>
        <w:t>п</w:t>
      </w:r>
      <w:r w:rsidRPr="00EF6097">
        <w:rPr>
          <w:sz w:val="28"/>
          <w:szCs w:val="28"/>
          <w:lang w:val="uk-UA"/>
        </w:rPr>
        <w:t>ро</w:t>
      </w:r>
      <w:r w:rsidR="00615C8C">
        <w:rPr>
          <w:sz w:val="28"/>
          <w:szCs w:val="28"/>
          <w:lang w:val="uk-UA"/>
        </w:rPr>
        <w:t>є</w:t>
      </w:r>
      <w:r w:rsidRPr="00EF6097">
        <w:rPr>
          <w:sz w:val="28"/>
          <w:szCs w:val="28"/>
          <w:lang w:val="uk-UA"/>
        </w:rPr>
        <w:t>кту</w:t>
      </w:r>
      <w:proofErr w:type="spellEnd"/>
      <w:r w:rsidRPr="00EF6097">
        <w:rPr>
          <w:sz w:val="28"/>
          <w:szCs w:val="28"/>
          <w:lang w:val="uk-UA"/>
        </w:rPr>
        <w:t xml:space="preserve"> наказу не впливає на надходження та витрати державного та/або місцевих бюджетів, не потребує додаткових коштів, у тому числі з державного чи місцевих бюджетів.</w:t>
      </w:r>
    </w:p>
    <w:p w:rsidR="00EF3A64" w:rsidRPr="007F3A44" w:rsidRDefault="00EF3A64" w:rsidP="00107142">
      <w:pPr>
        <w:pStyle w:val="3"/>
        <w:spacing w:before="0" w:after="0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</w:p>
    <w:p w:rsidR="00C73AC2" w:rsidRPr="00EF6097" w:rsidRDefault="00000FF5" w:rsidP="00107142">
      <w:pPr>
        <w:pStyle w:val="3"/>
        <w:spacing w:before="0" w:after="0"/>
        <w:ind w:firstLine="567"/>
        <w:rPr>
          <w:rFonts w:ascii="Times New Roman" w:hAnsi="Times New Roman" w:cs="Times New Roman"/>
          <w:spacing w:val="-3"/>
          <w:sz w:val="28"/>
          <w:szCs w:val="28"/>
        </w:rPr>
      </w:pPr>
      <w:r w:rsidRPr="00EF6097">
        <w:rPr>
          <w:rFonts w:ascii="Times New Roman" w:hAnsi="Times New Roman" w:cs="Times New Roman"/>
          <w:spacing w:val="-3"/>
          <w:sz w:val="28"/>
          <w:szCs w:val="28"/>
        </w:rPr>
        <w:t>6</w:t>
      </w:r>
      <w:r w:rsidR="00C73AC2" w:rsidRPr="00EF6097">
        <w:rPr>
          <w:rFonts w:ascii="Times New Roman" w:hAnsi="Times New Roman" w:cs="Times New Roman"/>
          <w:spacing w:val="-3"/>
          <w:sz w:val="28"/>
          <w:szCs w:val="28"/>
        </w:rPr>
        <w:t>. Позиція заінтересованих сторін</w:t>
      </w:r>
    </w:p>
    <w:p w:rsidR="000A245A" w:rsidRPr="00EF6097" w:rsidRDefault="000A245A" w:rsidP="00107142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EF6097">
        <w:rPr>
          <w:sz w:val="28"/>
          <w:szCs w:val="28"/>
          <w:lang w:val="uk-UA" w:eastAsia="uk-UA"/>
        </w:rPr>
        <w:t>Про</w:t>
      </w:r>
      <w:r w:rsidR="00615C8C">
        <w:rPr>
          <w:sz w:val="28"/>
          <w:szCs w:val="28"/>
          <w:lang w:val="uk-UA" w:eastAsia="uk-UA"/>
        </w:rPr>
        <w:t>є</w:t>
      </w:r>
      <w:r w:rsidRPr="00EF6097">
        <w:rPr>
          <w:sz w:val="28"/>
          <w:szCs w:val="28"/>
          <w:lang w:val="uk-UA" w:eastAsia="uk-UA"/>
        </w:rPr>
        <w:t>кт</w:t>
      </w:r>
      <w:proofErr w:type="spellEnd"/>
      <w:r w:rsidRPr="00EF6097">
        <w:rPr>
          <w:sz w:val="28"/>
          <w:szCs w:val="28"/>
          <w:lang w:val="uk-UA" w:eastAsia="uk-UA"/>
        </w:rPr>
        <w:t xml:space="preserve"> наказу потребує погодження з Міністерством економіки України,  </w:t>
      </w:r>
      <w:r w:rsidRPr="00EF6097">
        <w:rPr>
          <w:rFonts w:eastAsia="Calibri"/>
          <w:snapToGrid w:val="0"/>
          <w:sz w:val="28"/>
          <w:szCs w:val="28"/>
          <w:lang w:val="uk-UA"/>
        </w:rPr>
        <w:t xml:space="preserve">Міністерством цифрової трансформації, </w:t>
      </w:r>
      <w:r w:rsidRPr="00EF6097">
        <w:rPr>
          <w:sz w:val="28"/>
          <w:szCs w:val="28"/>
          <w:lang w:val="uk-UA" w:eastAsia="uk-UA"/>
        </w:rPr>
        <w:t>Державною регуляторною службою України та Державною податковою</w:t>
      </w:r>
      <w:r w:rsidR="005E5530" w:rsidRPr="00EF6097">
        <w:rPr>
          <w:sz w:val="28"/>
          <w:szCs w:val="28"/>
          <w:lang w:val="uk-UA" w:eastAsia="uk-UA"/>
        </w:rPr>
        <w:t xml:space="preserve"> службою України, а наказ – подання на державну реєстрацію до Міністерства юстиції України.</w:t>
      </w:r>
    </w:p>
    <w:p w:rsidR="007972EB" w:rsidRPr="00EF6097" w:rsidRDefault="007972EB" w:rsidP="0010714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6097">
        <w:rPr>
          <w:sz w:val="28"/>
          <w:szCs w:val="28"/>
          <w:lang w:val="uk-UA"/>
        </w:rPr>
        <w:t>Про</w:t>
      </w:r>
      <w:r w:rsidR="00615C8C">
        <w:rPr>
          <w:sz w:val="28"/>
          <w:szCs w:val="28"/>
          <w:lang w:val="uk-UA"/>
        </w:rPr>
        <w:t>є</w:t>
      </w:r>
      <w:r w:rsidRPr="00EF6097">
        <w:rPr>
          <w:sz w:val="28"/>
          <w:szCs w:val="28"/>
          <w:lang w:val="uk-UA"/>
        </w:rPr>
        <w:t>кт</w:t>
      </w:r>
      <w:proofErr w:type="spellEnd"/>
      <w:r w:rsidRPr="00EF6097">
        <w:rPr>
          <w:sz w:val="28"/>
          <w:szCs w:val="28"/>
          <w:lang w:val="uk-UA"/>
        </w:rPr>
        <w:t xml:space="preserve"> наказу не є регуляторним актом.</w:t>
      </w:r>
    </w:p>
    <w:p w:rsidR="007972EB" w:rsidRPr="00EF6097" w:rsidRDefault="007972EB" w:rsidP="00107142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EF6097">
        <w:rPr>
          <w:sz w:val="28"/>
          <w:szCs w:val="28"/>
          <w:lang w:val="uk-UA"/>
        </w:rPr>
        <w:t>Про</w:t>
      </w:r>
      <w:r w:rsidR="00615C8C">
        <w:rPr>
          <w:sz w:val="28"/>
          <w:szCs w:val="28"/>
          <w:lang w:val="uk-UA"/>
        </w:rPr>
        <w:t>є</w:t>
      </w:r>
      <w:r w:rsidRPr="00EF6097">
        <w:rPr>
          <w:sz w:val="28"/>
          <w:szCs w:val="28"/>
          <w:lang w:val="uk-UA"/>
        </w:rPr>
        <w:t>кт</w:t>
      </w:r>
      <w:proofErr w:type="spellEnd"/>
      <w:r w:rsidRPr="00EF6097">
        <w:rPr>
          <w:sz w:val="28"/>
          <w:szCs w:val="28"/>
          <w:lang w:val="uk-UA"/>
        </w:rPr>
        <w:t xml:space="preserve"> наказу відповідає принципам державної регуляторної політики, зокрема, в частині збереження балансу інтересів суб’єктів господарювання, громадян та держави.</w:t>
      </w:r>
    </w:p>
    <w:p w:rsidR="007972EB" w:rsidRPr="00EF6097" w:rsidRDefault="007972EB" w:rsidP="00107142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lastRenderedPageBreak/>
        <w:t xml:space="preserve">Реалізація </w:t>
      </w:r>
      <w:proofErr w:type="spellStart"/>
      <w:r w:rsidRPr="00EF6097">
        <w:rPr>
          <w:sz w:val="28"/>
          <w:szCs w:val="28"/>
          <w:lang w:val="uk-UA"/>
        </w:rPr>
        <w:t>про</w:t>
      </w:r>
      <w:r w:rsidR="00615C8C">
        <w:rPr>
          <w:sz w:val="28"/>
          <w:szCs w:val="28"/>
          <w:lang w:val="uk-UA"/>
        </w:rPr>
        <w:t>є</w:t>
      </w:r>
      <w:r w:rsidRPr="00EF6097">
        <w:rPr>
          <w:sz w:val="28"/>
          <w:szCs w:val="28"/>
          <w:lang w:val="uk-UA"/>
        </w:rPr>
        <w:t>кту</w:t>
      </w:r>
      <w:proofErr w:type="spellEnd"/>
      <w:r w:rsidRPr="00EF6097">
        <w:rPr>
          <w:sz w:val="28"/>
          <w:szCs w:val="28"/>
          <w:lang w:val="uk-UA"/>
        </w:rPr>
        <w:t xml:space="preserve"> наказу не матиме впливу на інтереси окремих верств (груп) населення, об’єднаних спільними інтересами, суб’єктів господарювання тощо.</w:t>
      </w:r>
    </w:p>
    <w:p w:rsidR="007972EB" w:rsidRPr="00EF6097" w:rsidRDefault="007972EB" w:rsidP="00107142">
      <w:pPr>
        <w:ind w:firstLine="567"/>
        <w:jc w:val="both"/>
        <w:rPr>
          <w:sz w:val="28"/>
          <w:szCs w:val="28"/>
          <w:lang w:val="uk-UA"/>
        </w:rPr>
      </w:pPr>
      <w:r w:rsidRPr="00EF6097">
        <w:rPr>
          <w:sz w:val="28"/>
          <w:szCs w:val="28"/>
          <w:lang w:val="uk-UA"/>
        </w:rPr>
        <w:t>З метою отримання зауважень і пропозицій відповідно до вимог </w:t>
      </w:r>
      <w:hyperlink r:id="rId9" w:anchor="n30" w:tgtFrame="_blank" w:history="1">
        <w:r w:rsidRPr="00EF6097">
          <w:rPr>
            <w:sz w:val="28"/>
            <w:szCs w:val="28"/>
            <w:lang w:val="uk-UA"/>
          </w:rPr>
          <w:t>Порядку проведення консультацій з громадськістю з питань формування та реалізації державної політики</w:t>
        </w:r>
      </w:hyperlink>
      <w:r w:rsidRPr="00EF6097">
        <w:rPr>
          <w:sz w:val="28"/>
          <w:szCs w:val="28"/>
          <w:lang w:val="uk-UA"/>
        </w:rPr>
        <w:t xml:space="preserve">, затвердженого постановою Кабінету Міністрів України </w:t>
      </w:r>
      <w:r w:rsidRPr="00EF6097">
        <w:rPr>
          <w:sz w:val="28"/>
          <w:szCs w:val="28"/>
          <w:lang w:val="uk-UA"/>
        </w:rPr>
        <w:br/>
        <w:t xml:space="preserve">від 03.11.2010 № 996 «Про забезпечення участі громадськості у формуванні та реалізації державної політики», </w:t>
      </w:r>
      <w:proofErr w:type="spellStart"/>
      <w:r w:rsidRPr="00EF6097">
        <w:rPr>
          <w:sz w:val="28"/>
          <w:szCs w:val="28"/>
          <w:lang w:val="uk-UA"/>
        </w:rPr>
        <w:t>про</w:t>
      </w:r>
      <w:r w:rsidR="00615C8C">
        <w:rPr>
          <w:sz w:val="28"/>
          <w:szCs w:val="28"/>
          <w:lang w:val="uk-UA"/>
        </w:rPr>
        <w:t>є</w:t>
      </w:r>
      <w:r w:rsidRPr="00EF6097">
        <w:rPr>
          <w:sz w:val="28"/>
          <w:szCs w:val="28"/>
          <w:lang w:val="uk-UA"/>
        </w:rPr>
        <w:t>кт</w:t>
      </w:r>
      <w:proofErr w:type="spellEnd"/>
      <w:r w:rsidRPr="00EF6097">
        <w:rPr>
          <w:sz w:val="28"/>
          <w:szCs w:val="28"/>
          <w:lang w:val="uk-UA"/>
        </w:rPr>
        <w:t xml:space="preserve"> оприлюднено на офіційному </w:t>
      </w:r>
      <w:proofErr w:type="spellStart"/>
      <w:r w:rsidRPr="00EF6097">
        <w:rPr>
          <w:sz w:val="28"/>
          <w:szCs w:val="28"/>
          <w:lang w:val="uk-UA"/>
        </w:rPr>
        <w:t>вебпорталі</w:t>
      </w:r>
      <w:proofErr w:type="spellEnd"/>
      <w:r w:rsidRPr="00EF6097">
        <w:rPr>
          <w:sz w:val="28"/>
          <w:szCs w:val="28"/>
          <w:lang w:val="uk-UA"/>
        </w:rPr>
        <w:t xml:space="preserve"> ДПС.</w:t>
      </w:r>
    </w:p>
    <w:p w:rsidR="005E5530" w:rsidRPr="00EF6097" w:rsidRDefault="005E5530" w:rsidP="0010714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EF6097">
        <w:rPr>
          <w:sz w:val="28"/>
          <w:szCs w:val="28"/>
          <w:lang w:val="uk-UA" w:eastAsia="uk-UA"/>
        </w:rPr>
        <w:t>Про</w:t>
      </w:r>
      <w:r w:rsidR="00615C8C">
        <w:rPr>
          <w:sz w:val="28"/>
          <w:szCs w:val="28"/>
          <w:lang w:val="uk-UA" w:eastAsia="uk-UA"/>
        </w:rPr>
        <w:t>є</w:t>
      </w:r>
      <w:r w:rsidRPr="00EF6097">
        <w:rPr>
          <w:sz w:val="28"/>
          <w:szCs w:val="28"/>
          <w:lang w:val="uk-UA" w:eastAsia="uk-UA"/>
        </w:rPr>
        <w:t>кт</w:t>
      </w:r>
      <w:proofErr w:type="spellEnd"/>
      <w:r w:rsidRPr="00EF6097">
        <w:rPr>
          <w:sz w:val="28"/>
          <w:szCs w:val="28"/>
          <w:lang w:val="uk-UA" w:eastAsia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 та не потребує зазначення позицій відповідних заінтересованих сторін.  </w:t>
      </w:r>
    </w:p>
    <w:p w:rsidR="005E5530" w:rsidRPr="00EF6097" w:rsidRDefault="005E5530" w:rsidP="0010714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EF6097">
        <w:rPr>
          <w:sz w:val="28"/>
          <w:szCs w:val="28"/>
          <w:lang w:val="uk-UA" w:eastAsia="uk-UA"/>
        </w:rPr>
        <w:t>Про</w:t>
      </w:r>
      <w:r w:rsidR="00615C8C">
        <w:rPr>
          <w:sz w:val="28"/>
          <w:szCs w:val="28"/>
          <w:lang w:val="uk-UA" w:eastAsia="uk-UA"/>
        </w:rPr>
        <w:t>є</w:t>
      </w:r>
      <w:r w:rsidRPr="00EF6097">
        <w:rPr>
          <w:sz w:val="28"/>
          <w:szCs w:val="28"/>
          <w:lang w:val="uk-UA" w:eastAsia="uk-UA"/>
        </w:rPr>
        <w:t>кт</w:t>
      </w:r>
      <w:proofErr w:type="spellEnd"/>
      <w:r w:rsidRPr="00EF6097">
        <w:rPr>
          <w:sz w:val="28"/>
          <w:szCs w:val="28"/>
          <w:lang w:val="uk-UA" w:eastAsia="uk-UA"/>
        </w:rPr>
        <w:t xml:space="preserve"> не стосується сфери наукової та науково-технічної діяльності.</w:t>
      </w:r>
    </w:p>
    <w:p w:rsidR="005E5530" w:rsidRPr="00107142" w:rsidRDefault="005E5530" w:rsidP="0010714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EF6097">
        <w:rPr>
          <w:sz w:val="28"/>
          <w:szCs w:val="28"/>
          <w:lang w:val="uk-UA" w:eastAsia="uk-UA"/>
        </w:rPr>
        <w:t xml:space="preserve">Положеннями </w:t>
      </w:r>
      <w:proofErr w:type="spellStart"/>
      <w:r w:rsidRPr="00EF6097">
        <w:rPr>
          <w:sz w:val="28"/>
          <w:szCs w:val="28"/>
          <w:lang w:val="uk-UA" w:eastAsia="uk-UA"/>
        </w:rPr>
        <w:t>про</w:t>
      </w:r>
      <w:r w:rsidR="00615C8C">
        <w:rPr>
          <w:sz w:val="28"/>
          <w:szCs w:val="28"/>
          <w:lang w:val="uk-UA" w:eastAsia="uk-UA"/>
        </w:rPr>
        <w:t>є</w:t>
      </w:r>
      <w:r w:rsidRPr="00EF6097">
        <w:rPr>
          <w:sz w:val="28"/>
          <w:szCs w:val="28"/>
          <w:lang w:val="uk-UA" w:eastAsia="uk-UA"/>
        </w:rPr>
        <w:t>кту</w:t>
      </w:r>
      <w:proofErr w:type="spellEnd"/>
      <w:r w:rsidRPr="00EF6097">
        <w:rPr>
          <w:sz w:val="28"/>
          <w:szCs w:val="28"/>
          <w:lang w:val="uk-UA" w:eastAsia="uk-UA"/>
        </w:rPr>
        <w:t xml:space="preserve"> наказу не передбачається надання державної допомоги суб’єктами господарювання, і, відповідно, дія Закону України «Про державну допомогу суб’єктам господарювання» не поширюється на зазначений </w:t>
      </w:r>
      <w:proofErr w:type="spellStart"/>
      <w:r w:rsidRPr="00EF6097">
        <w:rPr>
          <w:sz w:val="28"/>
          <w:szCs w:val="28"/>
          <w:lang w:val="uk-UA" w:eastAsia="uk-UA"/>
        </w:rPr>
        <w:t>про</w:t>
      </w:r>
      <w:r w:rsidR="00615C8C">
        <w:rPr>
          <w:sz w:val="28"/>
          <w:szCs w:val="28"/>
          <w:lang w:val="uk-UA" w:eastAsia="uk-UA"/>
        </w:rPr>
        <w:t>є</w:t>
      </w:r>
      <w:r w:rsidRPr="00EF6097">
        <w:rPr>
          <w:sz w:val="28"/>
          <w:szCs w:val="28"/>
          <w:lang w:val="uk-UA" w:eastAsia="uk-UA"/>
        </w:rPr>
        <w:t>кт</w:t>
      </w:r>
      <w:proofErr w:type="spellEnd"/>
      <w:r w:rsidRPr="00EF6097">
        <w:rPr>
          <w:sz w:val="28"/>
          <w:szCs w:val="28"/>
          <w:lang w:val="uk-UA" w:eastAsia="uk-UA"/>
        </w:rPr>
        <w:t xml:space="preserve"> </w:t>
      </w:r>
      <w:proofErr w:type="spellStart"/>
      <w:r w:rsidRPr="00EF6097">
        <w:rPr>
          <w:sz w:val="28"/>
          <w:szCs w:val="28"/>
          <w:lang w:val="uk-UA" w:eastAsia="uk-UA"/>
        </w:rPr>
        <w:t>акта</w:t>
      </w:r>
      <w:proofErr w:type="spellEnd"/>
      <w:r w:rsidRPr="00EF6097">
        <w:rPr>
          <w:sz w:val="28"/>
          <w:szCs w:val="28"/>
          <w:lang w:val="uk-UA" w:eastAsia="uk-UA"/>
        </w:rPr>
        <w:t xml:space="preserve"> та на підтримку суб’єктів господарювання. У зв’язку з цим відповідне рішення Антимонопольного комітету, передбачене зазначеним Законом, не потребується.</w:t>
      </w:r>
    </w:p>
    <w:p w:rsidR="0026624A" w:rsidRPr="007F3A44" w:rsidRDefault="0026624A" w:rsidP="00107142">
      <w:pPr>
        <w:ind w:firstLine="567"/>
        <w:jc w:val="both"/>
        <w:rPr>
          <w:b/>
          <w:sz w:val="28"/>
          <w:szCs w:val="28"/>
          <w:lang w:val="uk-UA"/>
        </w:rPr>
      </w:pPr>
    </w:p>
    <w:p w:rsidR="0026624A" w:rsidRPr="00107142" w:rsidRDefault="0026624A" w:rsidP="00107142">
      <w:pPr>
        <w:ind w:firstLine="567"/>
        <w:jc w:val="both"/>
        <w:rPr>
          <w:b/>
          <w:sz w:val="28"/>
          <w:szCs w:val="28"/>
          <w:lang w:val="uk-UA"/>
        </w:rPr>
      </w:pPr>
      <w:r w:rsidRPr="00107142">
        <w:rPr>
          <w:b/>
          <w:sz w:val="28"/>
          <w:szCs w:val="28"/>
          <w:lang w:val="uk-UA"/>
        </w:rPr>
        <w:t xml:space="preserve">7. Оцінка відповідності </w:t>
      </w:r>
    </w:p>
    <w:p w:rsidR="00735FDB" w:rsidRPr="00735FDB" w:rsidRDefault="00735FDB" w:rsidP="00735FDB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735FDB">
        <w:rPr>
          <w:sz w:val="28"/>
          <w:szCs w:val="28"/>
          <w:lang w:val="uk-UA" w:eastAsia="uk-UA"/>
        </w:rPr>
        <w:t xml:space="preserve">У </w:t>
      </w:r>
      <w:proofErr w:type="spellStart"/>
      <w:r w:rsidRPr="00735FDB">
        <w:rPr>
          <w:sz w:val="28"/>
          <w:szCs w:val="28"/>
          <w:lang w:val="uk-UA" w:eastAsia="uk-UA"/>
        </w:rPr>
        <w:t>про</w:t>
      </w:r>
      <w:r w:rsidR="00615C8C">
        <w:rPr>
          <w:sz w:val="28"/>
          <w:szCs w:val="28"/>
          <w:lang w:val="uk-UA" w:eastAsia="uk-UA"/>
        </w:rPr>
        <w:t>є</w:t>
      </w:r>
      <w:r w:rsidRPr="00735FDB">
        <w:rPr>
          <w:sz w:val="28"/>
          <w:szCs w:val="28"/>
          <w:lang w:val="uk-UA" w:eastAsia="uk-UA"/>
        </w:rPr>
        <w:t>кті</w:t>
      </w:r>
      <w:proofErr w:type="spellEnd"/>
      <w:r w:rsidRPr="00735FDB">
        <w:rPr>
          <w:sz w:val="28"/>
          <w:szCs w:val="28"/>
          <w:lang w:val="uk-UA" w:eastAsia="uk-UA"/>
        </w:rPr>
        <w:t xml:space="preserve"> </w:t>
      </w:r>
      <w:proofErr w:type="spellStart"/>
      <w:r w:rsidRPr="00735FDB">
        <w:rPr>
          <w:sz w:val="28"/>
          <w:szCs w:val="28"/>
          <w:lang w:val="uk-UA" w:eastAsia="uk-UA"/>
        </w:rPr>
        <w:t>акта</w:t>
      </w:r>
      <w:proofErr w:type="spellEnd"/>
      <w:r w:rsidRPr="00735FDB">
        <w:rPr>
          <w:sz w:val="28"/>
          <w:szCs w:val="28"/>
          <w:lang w:val="uk-UA" w:eastAsia="uk-UA"/>
        </w:rPr>
        <w:t xml:space="preserve"> відсутні положення, що стосуються зобов’язань України у сфері європейської інтеграції; прав та свобод, гарантованих Конвенцією про захист прав людини і основоположних свобод; впливають на забезпечення рівних прав та можливостей жінок і чоловіків; містять ризики вчинення корупційних правопорушень та правопорушень, пов’язаних з корупцією; створюють підстави для дискримінації.</w:t>
      </w:r>
    </w:p>
    <w:p w:rsidR="005E5530" w:rsidRPr="00107142" w:rsidRDefault="005E5530" w:rsidP="00107142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107142">
        <w:rPr>
          <w:sz w:val="28"/>
          <w:szCs w:val="28"/>
          <w:lang w:val="uk-UA" w:eastAsia="uk-UA"/>
        </w:rPr>
        <w:t xml:space="preserve">Громадська антикорупційна, громадська </w:t>
      </w:r>
      <w:proofErr w:type="spellStart"/>
      <w:r w:rsidRPr="00107142">
        <w:rPr>
          <w:sz w:val="28"/>
          <w:szCs w:val="28"/>
          <w:lang w:val="uk-UA" w:eastAsia="uk-UA"/>
        </w:rPr>
        <w:t>антидискримінаційна</w:t>
      </w:r>
      <w:proofErr w:type="spellEnd"/>
      <w:r w:rsidRPr="00107142">
        <w:rPr>
          <w:sz w:val="28"/>
          <w:szCs w:val="28"/>
          <w:lang w:val="uk-UA" w:eastAsia="uk-UA"/>
        </w:rPr>
        <w:t xml:space="preserve"> та громадська </w:t>
      </w:r>
      <w:proofErr w:type="spellStart"/>
      <w:r w:rsidRPr="00107142">
        <w:rPr>
          <w:sz w:val="28"/>
          <w:szCs w:val="28"/>
          <w:lang w:val="uk-UA" w:eastAsia="uk-UA"/>
        </w:rPr>
        <w:t>гендерно</w:t>
      </w:r>
      <w:proofErr w:type="spellEnd"/>
      <w:r w:rsidRPr="00107142">
        <w:rPr>
          <w:sz w:val="28"/>
          <w:szCs w:val="28"/>
          <w:lang w:val="uk-UA" w:eastAsia="uk-UA"/>
        </w:rPr>
        <w:t xml:space="preserve">-правова експертизи </w:t>
      </w:r>
      <w:proofErr w:type="spellStart"/>
      <w:r w:rsidR="00615C8C">
        <w:rPr>
          <w:sz w:val="28"/>
          <w:szCs w:val="28"/>
          <w:lang w:val="uk-UA" w:eastAsia="uk-UA"/>
        </w:rPr>
        <w:t>проєкту</w:t>
      </w:r>
      <w:proofErr w:type="spellEnd"/>
      <w:r w:rsidR="00615C8C">
        <w:rPr>
          <w:sz w:val="28"/>
          <w:szCs w:val="28"/>
          <w:lang w:val="uk-UA" w:eastAsia="uk-UA"/>
        </w:rPr>
        <w:t xml:space="preserve"> </w:t>
      </w:r>
      <w:r w:rsidRPr="00107142">
        <w:rPr>
          <w:sz w:val="28"/>
          <w:szCs w:val="28"/>
          <w:lang w:val="uk-UA" w:eastAsia="uk-UA"/>
        </w:rPr>
        <w:t>не проводилис</w:t>
      </w:r>
      <w:r w:rsidR="00615C8C">
        <w:rPr>
          <w:sz w:val="28"/>
          <w:szCs w:val="28"/>
          <w:lang w:val="uk-UA" w:eastAsia="uk-UA"/>
        </w:rPr>
        <w:t>я</w:t>
      </w:r>
      <w:r w:rsidRPr="00107142">
        <w:rPr>
          <w:sz w:val="28"/>
          <w:szCs w:val="28"/>
          <w:lang w:val="uk-UA" w:eastAsia="uk-UA"/>
        </w:rPr>
        <w:t>.</w:t>
      </w:r>
    </w:p>
    <w:p w:rsidR="005E5530" w:rsidRPr="00107142" w:rsidRDefault="005E5530" w:rsidP="00107142">
      <w:pPr>
        <w:ind w:firstLine="567"/>
        <w:jc w:val="both"/>
        <w:rPr>
          <w:b/>
          <w:sz w:val="12"/>
          <w:szCs w:val="12"/>
          <w:lang w:val="uk-UA"/>
        </w:rPr>
      </w:pPr>
    </w:p>
    <w:p w:rsidR="00C73AC2" w:rsidRPr="00107142" w:rsidRDefault="0055737D" w:rsidP="00107142">
      <w:pPr>
        <w:keepNext/>
        <w:tabs>
          <w:tab w:val="num" w:pos="0"/>
        </w:tabs>
        <w:ind w:firstLine="567"/>
        <w:jc w:val="both"/>
        <w:outlineLvl w:val="2"/>
        <w:rPr>
          <w:b/>
          <w:bCs/>
          <w:spacing w:val="-3"/>
          <w:sz w:val="28"/>
          <w:szCs w:val="28"/>
          <w:lang w:val="uk-UA"/>
        </w:rPr>
      </w:pPr>
      <w:r w:rsidRPr="00107142">
        <w:rPr>
          <w:b/>
          <w:bCs/>
          <w:spacing w:val="-3"/>
          <w:sz w:val="28"/>
          <w:szCs w:val="28"/>
          <w:lang w:val="uk-UA"/>
        </w:rPr>
        <w:t>8</w:t>
      </w:r>
      <w:r w:rsidR="00C73AC2" w:rsidRPr="00107142">
        <w:rPr>
          <w:b/>
          <w:bCs/>
          <w:spacing w:val="-3"/>
          <w:sz w:val="28"/>
          <w:szCs w:val="28"/>
          <w:lang w:val="uk-UA"/>
        </w:rPr>
        <w:t xml:space="preserve">. Прогноз </w:t>
      </w:r>
      <w:r w:rsidRPr="00107142">
        <w:rPr>
          <w:b/>
          <w:bCs/>
          <w:spacing w:val="-3"/>
          <w:sz w:val="28"/>
          <w:szCs w:val="28"/>
          <w:lang w:val="uk-UA"/>
        </w:rPr>
        <w:t>результатів</w:t>
      </w:r>
    </w:p>
    <w:p w:rsidR="00E640DB" w:rsidRPr="00107142" w:rsidRDefault="0055737D" w:rsidP="00107142">
      <w:pPr>
        <w:ind w:firstLine="567"/>
        <w:jc w:val="both"/>
        <w:rPr>
          <w:sz w:val="28"/>
          <w:szCs w:val="28"/>
          <w:lang w:val="uk-UA"/>
        </w:rPr>
      </w:pPr>
      <w:r w:rsidRPr="00107142">
        <w:rPr>
          <w:spacing w:val="-3"/>
          <w:sz w:val="28"/>
          <w:szCs w:val="28"/>
          <w:lang w:val="uk-UA" w:eastAsia="en-US"/>
        </w:rPr>
        <w:t xml:space="preserve">Прийняття </w:t>
      </w:r>
      <w:proofErr w:type="spellStart"/>
      <w:r w:rsidR="00C43BE5" w:rsidRPr="00107142">
        <w:rPr>
          <w:spacing w:val="-3"/>
          <w:sz w:val="28"/>
          <w:szCs w:val="28"/>
          <w:lang w:val="uk-UA" w:eastAsia="en-US"/>
        </w:rPr>
        <w:t>п</w:t>
      </w:r>
      <w:r w:rsidRPr="00107142">
        <w:rPr>
          <w:spacing w:val="-3"/>
          <w:sz w:val="28"/>
          <w:szCs w:val="28"/>
          <w:lang w:val="uk-UA" w:eastAsia="en-US"/>
        </w:rPr>
        <w:t>ро</w:t>
      </w:r>
      <w:r w:rsidR="00615C8C">
        <w:rPr>
          <w:spacing w:val="-3"/>
          <w:sz w:val="28"/>
          <w:szCs w:val="28"/>
          <w:lang w:val="uk-UA" w:eastAsia="en-US"/>
        </w:rPr>
        <w:t>є</w:t>
      </w:r>
      <w:r w:rsidRPr="00107142">
        <w:rPr>
          <w:spacing w:val="-3"/>
          <w:sz w:val="28"/>
          <w:szCs w:val="28"/>
          <w:lang w:val="uk-UA" w:eastAsia="en-US"/>
        </w:rPr>
        <w:t>кту</w:t>
      </w:r>
      <w:proofErr w:type="spellEnd"/>
      <w:r w:rsidRPr="00107142">
        <w:rPr>
          <w:spacing w:val="-3"/>
          <w:sz w:val="28"/>
          <w:szCs w:val="28"/>
          <w:lang w:val="uk-UA" w:eastAsia="en-US"/>
        </w:rPr>
        <w:t xml:space="preserve"> наказу </w:t>
      </w:r>
      <w:r w:rsidR="00E640DB" w:rsidRPr="00107142">
        <w:rPr>
          <w:sz w:val="28"/>
          <w:szCs w:val="28"/>
          <w:lang w:val="uk-UA"/>
        </w:rPr>
        <w:t>забезпечить</w:t>
      </w:r>
      <w:r w:rsidRPr="00107142">
        <w:rPr>
          <w:sz w:val="28"/>
          <w:szCs w:val="28"/>
          <w:lang w:val="uk-UA"/>
        </w:rPr>
        <w:t xml:space="preserve"> приве</w:t>
      </w:r>
      <w:r w:rsidR="00E640DB" w:rsidRPr="00107142">
        <w:rPr>
          <w:sz w:val="28"/>
          <w:szCs w:val="28"/>
          <w:lang w:val="uk-UA"/>
        </w:rPr>
        <w:t>дення</w:t>
      </w:r>
      <w:r w:rsidRPr="00107142">
        <w:rPr>
          <w:sz w:val="28"/>
          <w:szCs w:val="28"/>
          <w:lang w:val="uk-UA"/>
        </w:rPr>
        <w:t xml:space="preserve"> нормативно-правов</w:t>
      </w:r>
      <w:r w:rsidR="006F7987" w:rsidRPr="00107142">
        <w:rPr>
          <w:sz w:val="28"/>
          <w:szCs w:val="28"/>
          <w:lang w:val="uk-UA"/>
        </w:rPr>
        <w:t>ого</w:t>
      </w:r>
      <w:r w:rsidRPr="00107142">
        <w:rPr>
          <w:sz w:val="28"/>
          <w:szCs w:val="28"/>
          <w:lang w:val="uk-UA"/>
        </w:rPr>
        <w:t xml:space="preserve"> </w:t>
      </w:r>
      <w:proofErr w:type="spellStart"/>
      <w:r w:rsidRPr="00107142">
        <w:rPr>
          <w:sz w:val="28"/>
          <w:szCs w:val="28"/>
          <w:lang w:val="uk-UA"/>
        </w:rPr>
        <w:t>акт</w:t>
      </w:r>
      <w:r w:rsidR="006F7987" w:rsidRPr="00107142">
        <w:rPr>
          <w:sz w:val="28"/>
          <w:szCs w:val="28"/>
          <w:lang w:val="uk-UA"/>
        </w:rPr>
        <w:t>а</w:t>
      </w:r>
      <w:proofErr w:type="spellEnd"/>
      <w:r w:rsidRPr="00107142">
        <w:rPr>
          <w:sz w:val="28"/>
          <w:szCs w:val="28"/>
          <w:lang w:val="uk-UA"/>
        </w:rPr>
        <w:t xml:space="preserve"> у відповідність до норм чинного законодавства</w:t>
      </w:r>
      <w:r w:rsidR="00E640DB" w:rsidRPr="00107142">
        <w:rPr>
          <w:sz w:val="28"/>
          <w:szCs w:val="28"/>
          <w:lang w:val="uk-UA"/>
        </w:rPr>
        <w:t xml:space="preserve">, організацію </w:t>
      </w:r>
      <w:r w:rsidRPr="00107142">
        <w:rPr>
          <w:sz w:val="28"/>
          <w:szCs w:val="28"/>
          <w:lang w:val="uk-UA"/>
        </w:rPr>
        <w:t>належн</w:t>
      </w:r>
      <w:r w:rsidR="00E640DB" w:rsidRPr="00107142">
        <w:rPr>
          <w:sz w:val="28"/>
          <w:szCs w:val="28"/>
          <w:lang w:val="uk-UA"/>
        </w:rPr>
        <w:t>ого</w:t>
      </w:r>
      <w:r w:rsidRPr="00107142">
        <w:rPr>
          <w:sz w:val="28"/>
          <w:szCs w:val="28"/>
          <w:lang w:val="uk-UA"/>
        </w:rPr>
        <w:t xml:space="preserve"> функціонування міжрегіональних управлінь ДПС по роботі з великими платниками податків у частині формування плану-графіка проведення документальних планових перевірок платників податків та </w:t>
      </w:r>
      <w:proofErr w:type="spellStart"/>
      <w:r w:rsidR="00E640DB" w:rsidRPr="00107142">
        <w:rPr>
          <w:sz w:val="28"/>
          <w:szCs w:val="28"/>
          <w:lang w:val="uk-UA"/>
        </w:rPr>
        <w:t>надасть</w:t>
      </w:r>
      <w:proofErr w:type="spellEnd"/>
      <w:r w:rsidR="00E640DB" w:rsidRPr="00107142">
        <w:rPr>
          <w:sz w:val="28"/>
          <w:szCs w:val="28"/>
          <w:lang w:val="uk-UA"/>
        </w:rPr>
        <w:t xml:space="preserve"> змогу удосконалити систему </w:t>
      </w:r>
      <w:proofErr w:type="spellStart"/>
      <w:r w:rsidR="00E640DB" w:rsidRPr="00107142">
        <w:rPr>
          <w:sz w:val="28"/>
          <w:szCs w:val="28"/>
          <w:lang w:val="uk-UA"/>
        </w:rPr>
        <w:t>ризикоорієнтованого</w:t>
      </w:r>
      <w:proofErr w:type="spellEnd"/>
      <w:r w:rsidR="00E640DB" w:rsidRPr="00107142">
        <w:rPr>
          <w:sz w:val="28"/>
          <w:szCs w:val="28"/>
          <w:lang w:val="uk-UA"/>
        </w:rPr>
        <w:t xml:space="preserve"> податкового </w:t>
      </w:r>
      <w:r w:rsidR="006F7987" w:rsidRPr="00107142">
        <w:rPr>
          <w:sz w:val="28"/>
          <w:szCs w:val="28"/>
          <w:lang w:val="uk-UA"/>
        </w:rPr>
        <w:t>контролю</w:t>
      </w:r>
      <w:r w:rsidR="00E640DB" w:rsidRPr="00107142">
        <w:rPr>
          <w:sz w:val="28"/>
          <w:szCs w:val="28"/>
          <w:lang w:val="uk-UA"/>
        </w:rPr>
        <w:t>.</w:t>
      </w:r>
    </w:p>
    <w:p w:rsidR="00A55029" w:rsidRPr="00107142" w:rsidRDefault="00A55029" w:rsidP="00107142">
      <w:pPr>
        <w:ind w:firstLine="567"/>
        <w:jc w:val="both"/>
        <w:rPr>
          <w:sz w:val="28"/>
          <w:szCs w:val="28"/>
          <w:lang w:val="uk-UA"/>
        </w:rPr>
      </w:pPr>
      <w:r w:rsidRPr="00107142">
        <w:rPr>
          <w:sz w:val="28"/>
          <w:szCs w:val="28"/>
          <w:lang w:val="uk-UA"/>
        </w:rPr>
        <w:t>Удосконалення використання критеріїв ризику наддасть змогу задіяти механізм першочергового реагування на ті підприємства, щодо яких існує велика вірогідність недоплати або приховування об’єкта оподаткування, а також сприятиме зменшенню кількості суб’єктів господарювання, що будуть перевірятися.</w:t>
      </w:r>
    </w:p>
    <w:p w:rsidR="005E5530" w:rsidRPr="00107142" w:rsidRDefault="005E5530" w:rsidP="00107142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107142">
        <w:rPr>
          <w:rFonts w:eastAsiaTheme="minorHAnsi"/>
          <w:sz w:val="28"/>
          <w:szCs w:val="28"/>
          <w:lang w:val="uk-UA" w:eastAsia="en-US"/>
        </w:rPr>
        <w:t xml:space="preserve">Прийняття </w:t>
      </w:r>
      <w:proofErr w:type="spellStart"/>
      <w:r w:rsidRPr="00107142">
        <w:rPr>
          <w:rFonts w:eastAsiaTheme="minorHAnsi"/>
          <w:sz w:val="28"/>
          <w:szCs w:val="28"/>
          <w:lang w:val="uk-UA" w:eastAsia="en-US"/>
        </w:rPr>
        <w:t>акта</w:t>
      </w:r>
      <w:proofErr w:type="spellEnd"/>
      <w:r w:rsidRPr="00107142">
        <w:rPr>
          <w:rFonts w:eastAsiaTheme="minorHAnsi"/>
          <w:sz w:val="28"/>
          <w:szCs w:val="28"/>
          <w:lang w:val="uk-UA" w:eastAsia="en-US"/>
        </w:rPr>
        <w:t xml:space="preserve"> матиме вплив на інтереси заінтересованих сторін:</w:t>
      </w:r>
    </w:p>
    <w:p w:rsidR="003077D1" w:rsidRPr="007F3A44" w:rsidRDefault="003077D1" w:rsidP="005E5530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</w:p>
    <w:tbl>
      <w:tblPr>
        <w:tblStyle w:val="af"/>
        <w:tblW w:w="9752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5216"/>
      </w:tblGrid>
      <w:tr w:rsidR="00DB4FE3" w:rsidRPr="00107142" w:rsidTr="00735F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1" w:rsidRPr="00107142" w:rsidRDefault="007F2311" w:rsidP="00A93E30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>Заінтересована сторона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1" w:rsidRPr="00107142" w:rsidRDefault="007F2311" w:rsidP="00A93E30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 xml:space="preserve">Вплив реалізації </w:t>
            </w:r>
            <w:proofErr w:type="spellStart"/>
            <w:r w:rsidRPr="00107142">
              <w:rPr>
                <w:lang w:val="uk-UA"/>
              </w:rPr>
              <w:t>акта</w:t>
            </w:r>
            <w:proofErr w:type="spellEnd"/>
            <w:r w:rsidRPr="00107142">
              <w:rPr>
                <w:lang w:val="uk-UA"/>
              </w:rPr>
              <w:t xml:space="preserve"> на заінтересовану сторону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1" w:rsidRPr="00107142" w:rsidRDefault="007F2311" w:rsidP="00735FDB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ind w:firstLine="176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>Пояснення очікуваного впливу</w:t>
            </w:r>
          </w:p>
        </w:tc>
      </w:tr>
      <w:tr w:rsidR="00DB4FE3" w:rsidRPr="00107142" w:rsidTr="00735F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1" w:rsidRPr="00107142" w:rsidRDefault="007F2311" w:rsidP="00A93E30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>Платники податків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1" w:rsidRPr="00107142" w:rsidRDefault="007F2311" w:rsidP="00A93E30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 xml:space="preserve">Позитивний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2C" w:rsidRPr="00107142" w:rsidRDefault="00E70F2C" w:rsidP="00735FDB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ind w:firstLine="176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>зменшення тиску на сумлінних платників податків;</w:t>
            </w:r>
          </w:p>
          <w:p w:rsidR="007F2311" w:rsidRPr="00107142" w:rsidRDefault="00E70F2C" w:rsidP="00735FDB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ind w:firstLine="176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>створення можливостей для платників податків самостійно оцінити ризики та ймовірність проведення у них документальних планових перевірок</w:t>
            </w:r>
            <w:r w:rsidR="007F2311" w:rsidRPr="00107142">
              <w:rPr>
                <w:lang w:val="uk-UA"/>
              </w:rPr>
              <w:t>;</w:t>
            </w:r>
          </w:p>
          <w:p w:rsidR="007F2311" w:rsidRPr="00107142" w:rsidRDefault="00E70F2C" w:rsidP="00735FDB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ind w:firstLine="176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>звуження кола ризикових платників податків для відбору до планових перевірок</w:t>
            </w:r>
          </w:p>
        </w:tc>
      </w:tr>
      <w:tr w:rsidR="00DB4FE3" w:rsidRPr="00107142" w:rsidTr="00735FD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1" w:rsidRPr="00107142" w:rsidRDefault="007F2311" w:rsidP="00A93E30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>Контролюючі органи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311" w:rsidRPr="00107142" w:rsidRDefault="007F2311" w:rsidP="00A93E30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 xml:space="preserve">Позитивний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11" w:rsidRPr="00107142" w:rsidRDefault="0029416A" w:rsidP="00735FDB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ind w:firstLine="176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>забезпечення належного функціонування міжрегіональних управлінь ДПС по роботі з великими платниками податків у частині формування плану-графіка проведення документальних планових перевірок платників податків</w:t>
            </w:r>
            <w:r w:rsidR="007F2311" w:rsidRPr="00107142">
              <w:rPr>
                <w:lang w:val="uk-UA"/>
              </w:rPr>
              <w:t>;</w:t>
            </w:r>
          </w:p>
          <w:p w:rsidR="007F2311" w:rsidRPr="00107142" w:rsidRDefault="0029416A" w:rsidP="00735FDB">
            <w:pPr>
              <w:pStyle w:val="a7"/>
              <w:tabs>
                <w:tab w:val="num" w:pos="0"/>
                <w:tab w:val="left" w:pos="993"/>
              </w:tabs>
              <w:spacing w:before="0" w:beforeAutospacing="0" w:after="0" w:afterAutospacing="0"/>
              <w:ind w:firstLine="176"/>
              <w:jc w:val="both"/>
              <w:rPr>
                <w:lang w:val="uk-UA"/>
              </w:rPr>
            </w:pPr>
            <w:r w:rsidRPr="00107142">
              <w:rPr>
                <w:lang w:val="uk-UA"/>
              </w:rPr>
              <w:t xml:space="preserve">удосконалення </w:t>
            </w:r>
            <w:proofErr w:type="spellStart"/>
            <w:r w:rsidR="00166EE9" w:rsidRPr="00107142">
              <w:rPr>
                <w:lang w:val="uk-UA"/>
              </w:rPr>
              <w:t>р</w:t>
            </w:r>
            <w:r w:rsidRPr="00107142">
              <w:rPr>
                <w:lang w:val="uk-UA"/>
              </w:rPr>
              <w:t>изикоорієнтованого</w:t>
            </w:r>
            <w:proofErr w:type="spellEnd"/>
            <w:r w:rsidRPr="00107142">
              <w:rPr>
                <w:lang w:val="uk-UA"/>
              </w:rPr>
              <w:t xml:space="preserve"> податкового контролю</w:t>
            </w:r>
          </w:p>
        </w:tc>
      </w:tr>
    </w:tbl>
    <w:p w:rsidR="00E70F2C" w:rsidRDefault="00E70F2C" w:rsidP="00A93E30">
      <w:pPr>
        <w:pStyle w:val="a7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735FDB" w:rsidRPr="00107142" w:rsidRDefault="00735FDB" w:rsidP="00A93E30">
      <w:pPr>
        <w:pStyle w:val="a7"/>
        <w:tabs>
          <w:tab w:val="num" w:pos="0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73AC2" w:rsidRPr="00107142" w:rsidRDefault="00C73AC2" w:rsidP="00C73AC2">
      <w:pPr>
        <w:pStyle w:val="a9"/>
        <w:tabs>
          <w:tab w:val="num" w:pos="720"/>
        </w:tabs>
        <w:spacing w:line="360" w:lineRule="auto"/>
        <w:ind w:right="-144"/>
        <w:rPr>
          <w:b/>
          <w:sz w:val="28"/>
          <w:szCs w:val="28"/>
          <w:lang w:val="uk-UA"/>
        </w:rPr>
      </w:pPr>
      <w:r w:rsidRPr="00107142">
        <w:rPr>
          <w:b/>
          <w:sz w:val="28"/>
          <w:szCs w:val="28"/>
          <w:lang w:val="uk-UA"/>
        </w:rPr>
        <w:t>Міністр фінансів України                                                 Сергій МАРЧЕНКО</w:t>
      </w:r>
    </w:p>
    <w:tbl>
      <w:tblPr>
        <w:tblW w:w="2202" w:type="pct"/>
        <w:tblCellSpacing w:w="22" w:type="dxa"/>
        <w:tblInd w:w="-6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0"/>
      </w:tblGrid>
      <w:tr w:rsidR="00DB4FE3" w:rsidRPr="00107142" w:rsidTr="008205AE">
        <w:trPr>
          <w:tblCellSpacing w:w="22" w:type="dxa"/>
        </w:trPr>
        <w:tc>
          <w:tcPr>
            <w:tcW w:w="4898" w:type="pct"/>
            <w:hideMark/>
          </w:tcPr>
          <w:p w:rsidR="00C73AC2" w:rsidRPr="00107142" w:rsidRDefault="00766398" w:rsidP="00A55029">
            <w:pPr>
              <w:pStyle w:val="a7"/>
              <w:rPr>
                <w:sz w:val="28"/>
                <w:szCs w:val="28"/>
                <w:lang w:val="uk-UA"/>
              </w:rPr>
            </w:pPr>
            <w:r w:rsidRPr="00107142">
              <w:rPr>
                <w:sz w:val="28"/>
                <w:szCs w:val="28"/>
                <w:lang w:val="uk-UA"/>
              </w:rPr>
              <w:t xml:space="preserve"> </w:t>
            </w:r>
            <w:r w:rsidR="00C73AC2" w:rsidRPr="00107142">
              <w:rPr>
                <w:sz w:val="28"/>
                <w:szCs w:val="28"/>
                <w:lang w:val="uk-UA"/>
              </w:rPr>
              <w:t>___ ____________ 20</w:t>
            </w:r>
            <w:r w:rsidR="001024FE" w:rsidRPr="00107142">
              <w:rPr>
                <w:sz w:val="28"/>
                <w:szCs w:val="28"/>
                <w:lang w:val="uk-UA"/>
              </w:rPr>
              <w:t>21</w:t>
            </w:r>
            <w:r w:rsidR="00C73AC2" w:rsidRPr="00107142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C81EE9" w:rsidRPr="00107142" w:rsidRDefault="00C81EE9">
      <w:pPr>
        <w:rPr>
          <w:lang w:val="uk-UA"/>
        </w:rPr>
      </w:pPr>
    </w:p>
    <w:sectPr w:rsidR="00C81EE9" w:rsidRPr="00107142" w:rsidSect="00E4557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47" w:rsidRDefault="00C01247">
      <w:r>
        <w:separator/>
      </w:r>
    </w:p>
  </w:endnote>
  <w:endnote w:type="continuationSeparator" w:id="0">
    <w:p w:rsidR="00C01247" w:rsidRDefault="00C0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47" w:rsidRDefault="00C01247">
      <w:r>
        <w:separator/>
      </w:r>
    </w:p>
  </w:footnote>
  <w:footnote w:type="continuationSeparator" w:id="0">
    <w:p w:rsidR="00C01247" w:rsidRDefault="00C01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9" w:rsidRPr="007F3A44" w:rsidRDefault="00C73AC2" w:rsidP="00892165">
    <w:pPr>
      <w:pStyle w:val="a4"/>
      <w:framePr w:wrap="auto" w:vAnchor="text" w:hAnchor="margin" w:xAlign="center" w:y="1"/>
      <w:rPr>
        <w:rStyle w:val="a3"/>
        <w:sz w:val="28"/>
        <w:szCs w:val="28"/>
      </w:rPr>
    </w:pPr>
    <w:r w:rsidRPr="007F3A44">
      <w:rPr>
        <w:rStyle w:val="a3"/>
        <w:sz w:val="28"/>
        <w:szCs w:val="28"/>
      </w:rPr>
      <w:fldChar w:fldCharType="begin"/>
    </w:r>
    <w:r w:rsidRPr="007F3A44">
      <w:rPr>
        <w:rStyle w:val="a3"/>
        <w:sz w:val="28"/>
        <w:szCs w:val="28"/>
      </w:rPr>
      <w:instrText xml:space="preserve">PAGE  </w:instrText>
    </w:r>
    <w:r w:rsidRPr="007F3A44">
      <w:rPr>
        <w:rStyle w:val="a3"/>
        <w:sz w:val="28"/>
        <w:szCs w:val="28"/>
      </w:rPr>
      <w:fldChar w:fldCharType="separate"/>
    </w:r>
    <w:r w:rsidR="007F3A44">
      <w:rPr>
        <w:rStyle w:val="a3"/>
        <w:noProof/>
        <w:sz w:val="28"/>
        <w:szCs w:val="28"/>
      </w:rPr>
      <w:t>8</w:t>
    </w:r>
    <w:r w:rsidRPr="007F3A44">
      <w:rPr>
        <w:rStyle w:val="a3"/>
        <w:sz w:val="28"/>
        <w:szCs w:val="28"/>
      </w:rPr>
      <w:fldChar w:fldCharType="end"/>
    </w:r>
  </w:p>
  <w:p w:rsidR="00A02C79" w:rsidRDefault="00C012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586"/>
    <w:multiLevelType w:val="hybridMultilevel"/>
    <w:tmpl w:val="98E8678A"/>
    <w:lvl w:ilvl="0" w:tplc="F954CD2C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633D41"/>
    <w:multiLevelType w:val="multilevel"/>
    <w:tmpl w:val="F83CDFBE"/>
    <w:lvl w:ilvl="0">
      <w:start w:val="1"/>
      <w:numFmt w:val="decimal"/>
      <w:lvlText w:val="%1."/>
      <w:lvlJc w:val="left"/>
      <w:pPr>
        <w:tabs>
          <w:tab w:val="num" w:pos="3272"/>
        </w:tabs>
        <w:ind w:left="3272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98"/>
        </w:tabs>
        <w:ind w:left="369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CD20EA8"/>
    <w:multiLevelType w:val="hybridMultilevel"/>
    <w:tmpl w:val="F89E929C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0FA0395"/>
    <w:multiLevelType w:val="hybridMultilevel"/>
    <w:tmpl w:val="6B147998"/>
    <w:lvl w:ilvl="0" w:tplc="075EEB6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19" w:hanging="360"/>
      </w:pPr>
    </w:lvl>
    <w:lvl w:ilvl="2" w:tplc="0422001B" w:tentative="1">
      <w:start w:val="1"/>
      <w:numFmt w:val="lowerRoman"/>
      <w:lvlText w:val="%3."/>
      <w:lvlJc w:val="right"/>
      <w:pPr>
        <w:ind w:left="2339" w:hanging="180"/>
      </w:pPr>
    </w:lvl>
    <w:lvl w:ilvl="3" w:tplc="0422000F" w:tentative="1">
      <w:start w:val="1"/>
      <w:numFmt w:val="decimal"/>
      <w:lvlText w:val="%4."/>
      <w:lvlJc w:val="left"/>
      <w:pPr>
        <w:ind w:left="3059" w:hanging="360"/>
      </w:pPr>
    </w:lvl>
    <w:lvl w:ilvl="4" w:tplc="04220019" w:tentative="1">
      <w:start w:val="1"/>
      <w:numFmt w:val="lowerLetter"/>
      <w:lvlText w:val="%5."/>
      <w:lvlJc w:val="left"/>
      <w:pPr>
        <w:ind w:left="3779" w:hanging="360"/>
      </w:pPr>
    </w:lvl>
    <w:lvl w:ilvl="5" w:tplc="0422001B" w:tentative="1">
      <w:start w:val="1"/>
      <w:numFmt w:val="lowerRoman"/>
      <w:lvlText w:val="%6."/>
      <w:lvlJc w:val="right"/>
      <w:pPr>
        <w:ind w:left="4499" w:hanging="180"/>
      </w:pPr>
    </w:lvl>
    <w:lvl w:ilvl="6" w:tplc="0422000F" w:tentative="1">
      <w:start w:val="1"/>
      <w:numFmt w:val="decimal"/>
      <w:lvlText w:val="%7."/>
      <w:lvlJc w:val="left"/>
      <w:pPr>
        <w:ind w:left="5219" w:hanging="360"/>
      </w:pPr>
    </w:lvl>
    <w:lvl w:ilvl="7" w:tplc="04220019" w:tentative="1">
      <w:start w:val="1"/>
      <w:numFmt w:val="lowerLetter"/>
      <w:lvlText w:val="%8."/>
      <w:lvlJc w:val="left"/>
      <w:pPr>
        <w:ind w:left="5939" w:hanging="360"/>
      </w:pPr>
    </w:lvl>
    <w:lvl w:ilvl="8" w:tplc="0422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C2"/>
    <w:rsid w:val="00000FF5"/>
    <w:rsid w:val="00011A84"/>
    <w:rsid w:val="00043751"/>
    <w:rsid w:val="000533E8"/>
    <w:rsid w:val="0005630A"/>
    <w:rsid w:val="000A245A"/>
    <w:rsid w:val="000D7BFB"/>
    <w:rsid w:val="000E3266"/>
    <w:rsid w:val="000F2012"/>
    <w:rsid w:val="000F21F3"/>
    <w:rsid w:val="001024FE"/>
    <w:rsid w:val="001065D1"/>
    <w:rsid w:val="00107142"/>
    <w:rsid w:val="001227F9"/>
    <w:rsid w:val="00150ACB"/>
    <w:rsid w:val="00166EE9"/>
    <w:rsid w:val="00167936"/>
    <w:rsid w:val="00167EF7"/>
    <w:rsid w:val="00170C07"/>
    <w:rsid w:val="00175871"/>
    <w:rsid w:val="00177C71"/>
    <w:rsid w:val="001B27D5"/>
    <w:rsid w:val="001C6E1A"/>
    <w:rsid w:val="00211E10"/>
    <w:rsid w:val="00214E9E"/>
    <w:rsid w:val="00220831"/>
    <w:rsid w:val="00240745"/>
    <w:rsid w:val="0026624A"/>
    <w:rsid w:val="002758CA"/>
    <w:rsid w:val="0029189B"/>
    <w:rsid w:val="0029416A"/>
    <w:rsid w:val="002F4C7C"/>
    <w:rsid w:val="003077D1"/>
    <w:rsid w:val="00312D73"/>
    <w:rsid w:val="00330281"/>
    <w:rsid w:val="0034367C"/>
    <w:rsid w:val="0036246D"/>
    <w:rsid w:val="003851A6"/>
    <w:rsid w:val="003940C3"/>
    <w:rsid w:val="003B377B"/>
    <w:rsid w:val="003B4DE0"/>
    <w:rsid w:val="003C2D86"/>
    <w:rsid w:val="003C3404"/>
    <w:rsid w:val="003F3200"/>
    <w:rsid w:val="00404C15"/>
    <w:rsid w:val="004125A4"/>
    <w:rsid w:val="0047597E"/>
    <w:rsid w:val="00481F52"/>
    <w:rsid w:val="004A2B35"/>
    <w:rsid w:val="004A4198"/>
    <w:rsid w:val="004A5A49"/>
    <w:rsid w:val="004B5CAB"/>
    <w:rsid w:val="004E3858"/>
    <w:rsid w:val="005024A4"/>
    <w:rsid w:val="00532213"/>
    <w:rsid w:val="00535E92"/>
    <w:rsid w:val="00546D7D"/>
    <w:rsid w:val="00556ED8"/>
    <w:rsid w:val="0055737D"/>
    <w:rsid w:val="005805B0"/>
    <w:rsid w:val="005B6950"/>
    <w:rsid w:val="005C084C"/>
    <w:rsid w:val="005C1351"/>
    <w:rsid w:val="005C3617"/>
    <w:rsid w:val="005D23E8"/>
    <w:rsid w:val="005D657D"/>
    <w:rsid w:val="005E5530"/>
    <w:rsid w:val="00613576"/>
    <w:rsid w:val="00615C8C"/>
    <w:rsid w:val="006208AF"/>
    <w:rsid w:val="00635712"/>
    <w:rsid w:val="00660A48"/>
    <w:rsid w:val="006D5CB8"/>
    <w:rsid w:val="006F7987"/>
    <w:rsid w:val="0070455C"/>
    <w:rsid w:val="00705939"/>
    <w:rsid w:val="0071538D"/>
    <w:rsid w:val="00735FDB"/>
    <w:rsid w:val="00743BE5"/>
    <w:rsid w:val="00746AC2"/>
    <w:rsid w:val="00766398"/>
    <w:rsid w:val="0077228B"/>
    <w:rsid w:val="007744B5"/>
    <w:rsid w:val="007972EB"/>
    <w:rsid w:val="007A4040"/>
    <w:rsid w:val="007F2311"/>
    <w:rsid w:val="007F3A44"/>
    <w:rsid w:val="008205AE"/>
    <w:rsid w:val="00855B4F"/>
    <w:rsid w:val="00857B9C"/>
    <w:rsid w:val="00876FD1"/>
    <w:rsid w:val="008778DA"/>
    <w:rsid w:val="00896C7C"/>
    <w:rsid w:val="008A3FF8"/>
    <w:rsid w:val="00905D7D"/>
    <w:rsid w:val="00912AEC"/>
    <w:rsid w:val="00946B58"/>
    <w:rsid w:val="00961879"/>
    <w:rsid w:val="00973E36"/>
    <w:rsid w:val="009846EA"/>
    <w:rsid w:val="00994D2E"/>
    <w:rsid w:val="009A1ACD"/>
    <w:rsid w:val="009A6CF9"/>
    <w:rsid w:val="009B70E1"/>
    <w:rsid w:val="009D445F"/>
    <w:rsid w:val="009E54AD"/>
    <w:rsid w:val="009F27A0"/>
    <w:rsid w:val="00A51A01"/>
    <w:rsid w:val="00A55029"/>
    <w:rsid w:val="00A67831"/>
    <w:rsid w:val="00A727F4"/>
    <w:rsid w:val="00A853AF"/>
    <w:rsid w:val="00A93ACE"/>
    <w:rsid w:val="00A93E30"/>
    <w:rsid w:val="00AC7F67"/>
    <w:rsid w:val="00B006FC"/>
    <w:rsid w:val="00B2504A"/>
    <w:rsid w:val="00B31146"/>
    <w:rsid w:val="00B34395"/>
    <w:rsid w:val="00B4055F"/>
    <w:rsid w:val="00B42C02"/>
    <w:rsid w:val="00B45012"/>
    <w:rsid w:val="00B46FD7"/>
    <w:rsid w:val="00B75177"/>
    <w:rsid w:val="00B865D1"/>
    <w:rsid w:val="00B94FAF"/>
    <w:rsid w:val="00BA087A"/>
    <w:rsid w:val="00BA264C"/>
    <w:rsid w:val="00BC0425"/>
    <w:rsid w:val="00BC37F3"/>
    <w:rsid w:val="00BD1FDA"/>
    <w:rsid w:val="00BF250D"/>
    <w:rsid w:val="00BF6962"/>
    <w:rsid w:val="00C01247"/>
    <w:rsid w:val="00C11B32"/>
    <w:rsid w:val="00C23E6A"/>
    <w:rsid w:val="00C36E93"/>
    <w:rsid w:val="00C43BE5"/>
    <w:rsid w:val="00C52FBE"/>
    <w:rsid w:val="00C63FD1"/>
    <w:rsid w:val="00C66B80"/>
    <w:rsid w:val="00C73AC2"/>
    <w:rsid w:val="00C81EE9"/>
    <w:rsid w:val="00C90635"/>
    <w:rsid w:val="00CA0705"/>
    <w:rsid w:val="00CC616C"/>
    <w:rsid w:val="00CE32AE"/>
    <w:rsid w:val="00D335D5"/>
    <w:rsid w:val="00D4197F"/>
    <w:rsid w:val="00D5006D"/>
    <w:rsid w:val="00D65C15"/>
    <w:rsid w:val="00D71F78"/>
    <w:rsid w:val="00DA5AE7"/>
    <w:rsid w:val="00DB4FE3"/>
    <w:rsid w:val="00DB70F9"/>
    <w:rsid w:val="00DE23CE"/>
    <w:rsid w:val="00E06559"/>
    <w:rsid w:val="00E07928"/>
    <w:rsid w:val="00E1607B"/>
    <w:rsid w:val="00E41462"/>
    <w:rsid w:val="00E4557C"/>
    <w:rsid w:val="00E55DB5"/>
    <w:rsid w:val="00E62E93"/>
    <w:rsid w:val="00E640DB"/>
    <w:rsid w:val="00E70F2C"/>
    <w:rsid w:val="00E71CE1"/>
    <w:rsid w:val="00E722E5"/>
    <w:rsid w:val="00E73A15"/>
    <w:rsid w:val="00EA0615"/>
    <w:rsid w:val="00EB2673"/>
    <w:rsid w:val="00EB6EDD"/>
    <w:rsid w:val="00EC0992"/>
    <w:rsid w:val="00EF3A64"/>
    <w:rsid w:val="00EF48E7"/>
    <w:rsid w:val="00EF6097"/>
    <w:rsid w:val="00F0043E"/>
    <w:rsid w:val="00F06F26"/>
    <w:rsid w:val="00F40BBC"/>
    <w:rsid w:val="00F86FF2"/>
    <w:rsid w:val="00F91953"/>
    <w:rsid w:val="00F953DB"/>
    <w:rsid w:val="00FA454B"/>
    <w:rsid w:val="00FA4924"/>
    <w:rsid w:val="00FB32E7"/>
    <w:rsid w:val="00FD1E6C"/>
    <w:rsid w:val="00FE22BD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73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3A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age number"/>
    <w:uiPriority w:val="99"/>
    <w:rsid w:val="00C73AC2"/>
  </w:style>
  <w:style w:type="paragraph" w:styleId="a4">
    <w:name w:val="header"/>
    <w:basedOn w:val="a"/>
    <w:link w:val="a5"/>
    <w:uiPriority w:val="99"/>
    <w:rsid w:val="00C73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A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Знак"/>
    <w:basedOn w:val="a"/>
    <w:uiPriority w:val="99"/>
    <w:rsid w:val="00C73AC2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aliases w:val="Обычный (Web),Обычный (веб) Знак Знак3,Знак1 Знак Знак3,Знак1 Знак11,Знак1 Знак Знак11,Обычный (веб) Знак Знак21,Знак1 Знак21,Обычный (веб) Знак2,Знак1 Знак4,Знак11,Знак2,Обычный (веб) Знак Знак2 Знак Знак Знак2,З,Зна,Знак1 Знак, Знак1"/>
    <w:basedOn w:val="a"/>
    <w:link w:val="a8"/>
    <w:uiPriority w:val="99"/>
    <w:qFormat/>
    <w:rsid w:val="00C73AC2"/>
    <w:pPr>
      <w:spacing w:before="100" w:beforeAutospacing="1" w:after="100" w:afterAutospacing="1"/>
    </w:pPr>
  </w:style>
  <w:style w:type="character" w:customStyle="1" w:styleId="a8">
    <w:name w:val="Обычный (веб) Знак"/>
    <w:aliases w:val="Обычный (Web) Знак,Обычный (веб) Знак Знак3 Знак,Знак1 Знак Знак3 Знак,Знак1 Знак11 Знак,Знак1 Знак Знак11 Знак,Обычный (веб) Знак Знак21 Знак,Знак1 Знак21 Знак,Обычный (веб) Знак2 Знак,Знак1 Знак4 Знак,Знак11 Знак,Знак2 Знак,З Знак"/>
    <w:link w:val="a7"/>
    <w:uiPriority w:val="99"/>
    <w:locked/>
    <w:rsid w:val="00C73A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C73AC2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uiPriority w:val="99"/>
    <w:semiHidden/>
    <w:unhideWhenUsed/>
    <w:rsid w:val="00C73A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73A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7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481F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1F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6135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35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1">
    <w:name w:val="rvps21"/>
    <w:basedOn w:val="a"/>
    <w:rsid w:val="00FA4924"/>
    <w:pPr>
      <w:spacing w:after="125"/>
      <w:ind w:firstLine="376"/>
      <w:jc w:val="both"/>
    </w:pPr>
    <w:rPr>
      <w:rFonts w:eastAsiaTheme="minorEastAsia"/>
    </w:rPr>
  </w:style>
  <w:style w:type="table" w:styleId="af">
    <w:name w:val="Table Grid"/>
    <w:basedOn w:val="a1"/>
    <w:uiPriority w:val="39"/>
    <w:rsid w:val="007F2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71F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71F7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71F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1F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1F7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5">
    <w:name w:val="Revision"/>
    <w:hidden/>
    <w:uiPriority w:val="99"/>
    <w:semiHidden/>
    <w:rsid w:val="00D7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footer"/>
    <w:basedOn w:val="a"/>
    <w:link w:val="af7"/>
    <w:uiPriority w:val="99"/>
    <w:unhideWhenUsed/>
    <w:rsid w:val="006208AF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208A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C73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3A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age number"/>
    <w:uiPriority w:val="99"/>
    <w:rsid w:val="00C73AC2"/>
  </w:style>
  <w:style w:type="paragraph" w:styleId="a4">
    <w:name w:val="header"/>
    <w:basedOn w:val="a"/>
    <w:link w:val="a5"/>
    <w:uiPriority w:val="99"/>
    <w:rsid w:val="00C73A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3A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Знак"/>
    <w:basedOn w:val="a"/>
    <w:uiPriority w:val="99"/>
    <w:rsid w:val="00C73AC2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aliases w:val="Обычный (Web),Обычный (веб) Знак Знак3,Знак1 Знак Знак3,Знак1 Знак11,Знак1 Знак Знак11,Обычный (веб) Знак Знак21,Знак1 Знак21,Обычный (веб) Знак2,Знак1 Знак4,Знак11,Знак2,Обычный (веб) Знак Знак2 Знак Знак Знак2,З,Зна,Знак1 Знак, Знак1"/>
    <w:basedOn w:val="a"/>
    <w:link w:val="a8"/>
    <w:uiPriority w:val="99"/>
    <w:qFormat/>
    <w:rsid w:val="00C73AC2"/>
    <w:pPr>
      <w:spacing w:before="100" w:beforeAutospacing="1" w:after="100" w:afterAutospacing="1"/>
    </w:pPr>
  </w:style>
  <w:style w:type="character" w:customStyle="1" w:styleId="a8">
    <w:name w:val="Обычный (веб) Знак"/>
    <w:aliases w:val="Обычный (Web) Знак,Обычный (веб) Знак Знак3 Знак,Знак1 Знак Знак3 Знак,Знак1 Знак11 Знак,Знак1 Знак Знак11 Знак,Обычный (веб) Знак Знак21 Знак,Знак1 Знак21 Знак,Обычный (веб) Знак2 Знак,Знак1 Знак4 Знак,Знак11 Знак,Знак2 Знак,З Знак"/>
    <w:link w:val="a7"/>
    <w:uiPriority w:val="99"/>
    <w:locked/>
    <w:rsid w:val="00C73A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у1"/>
    <w:basedOn w:val="a"/>
    <w:rsid w:val="00C73AC2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uiPriority w:val="99"/>
    <w:semiHidden/>
    <w:unhideWhenUsed/>
    <w:rsid w:val="00C73A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73A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73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481F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1F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unhideWhenUsed/>
    <w:rsid w:val="006135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135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1">
    <w:name w:val="rvps21"/>
    <w:basedOn w:val="a"/>
    <w:rsid w:val="00FA4924"/>
    <w:pPr>
      <w:spacing w:after="125"/>
      <w:ind w:firstLine="376"/>
      <w:jc w:val="both"/>
    </w:pPr>
    <w:rPr>
      <w:rFonts w:eastAsiaTheme="minorEastAsia"/>
    </w:rPr>
  </w:style>
  <w:style w:type="table" w:styleId="af">
    <w:name w:val="Table Grid"/>
    <w:basedOn w:val="a1"/>
    <w:uiPriority w:val="39"/>
    <w:rsid w:val="007F2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71F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71F7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71F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1F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71F7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5">
    <w:name w:val="Revision"/>
    <w:hidden/>
    <w:uiPriority w:val="99"/>
    <w:semiHidden/>
    <w:rsid w:val="00D7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6">
    <w:name w:val="footer"/>
    <w:basedOn w:val="a"/>
    <w:link w:val="af7"/>
    <w:uiPriority w:val="99"/>
    <w:unhideWhenUsed/>
    <w:rsid w:val="006208AF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6208A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996-2010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DC51F-8241-4FC9-A4C3-1217F5C0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12845</Words>
  <Characters>7322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МЕТЛАШЕВСЬКА НІНА ЯРОСЛАВІВНА</dc:creator>
  <cp:lastModifiedBy>ГАРМАШОВА ОЛЬГА ДМИТРІВНА</cp:lastModifiedBy>
  <cp:revision>4</cp:revision>
  <cp:lastPrinted>2021-07-14T10:49:00Z</cp:lastPrinted>
  <dcterms:created xsi:type="dcterms:W3CDTF">2021-07-07T05:42:00Z</dcterms:created>
  <dcterms:modified xsi:type="dcterms:W3CDTF">2021-07-20T13:25:00Z</dcterms:modified>
</cp:coreProperties>
</file>