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0740" w:type="dxa"/>
        <w:tblLook w:val="04A0" w:firstRow="1" w:lastRow="0" w:firstColumn="1" w:lastColumn="0" w:noHBand="0" w:noVBand="1"/>
      </w:tblPr>
      <w:tblGrid>
        <w:gridCol w:w="4964"/>
      </w:tblGrid>
      <w:tr w:rsidR="0090762F" w:rsidRPr="0090762F" w:rsidTr="004C238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23147" w:rsidRPr="0090762F" w:rsidRDefault="00F23147" w:rsidP="00934825">
            <w:pPr>
              <w:rPr>
                <w:lang w:val="uk-UA"/>
              </w:rPr>
            </w:pPr>
            <w:r w:rsidRPr="0090762F">
              <w:rPr>
                <w:lang w:val="uk-UA"/>
              </w:rPr>
              <w:t>ЗАТВЕРДЖЕНО</w:t>
            </w:r>
          </w:p>
          <w:p w:rsidR="00F23147" w:rsidRPr="0090762F" w:rsidRDefault="00F23147" w:rsidP="00934825">
            <w:pPr>
              <w:rPr>
                <w:lang w:val="uk-UA"/>
              </w:rPr>
            </w:pPr>
            <w:r w:rsidRPr="0090762F">
              <w:rPr>
                <w:lang w:val="uk-UA"/>
              </w:rPr>
              <w:t xml:space="preserve">Наказ Міністерства фінансів України </w:t>
            </w:r>
          </w:p>
          <w:p w:rsidR="00F23147" w:rsidRPr="0090762F" w:rsidRDefault="00F23147" w:rsidP="00934825">
            <w:pPr>
              <w:rPr>
                <w:lang w:val="uk-UA"/>
              </w:rPr>
            </w:pPr>
            <w:r w:rsidRPr="0090762F">
              <w:rPr>
                <w:lang w:val="uk-UA"/>
              </w:rPr>
              <w:t>«    »                      202</w:t>
            </w:r>
            <w:r w:rsidR="00726DD2" w:rsidRPr="0090762F">
              <w:t>1</w:t>
            </w:r>
            <w:r w:rsidRPr="0090762F">
              <w:rPr>
                <w:lang w:val="uk-UA"/>
              </w:rPr>
              <w:t xml:space="preserve"> року №   </w:t>
            </w:r>
          </w:p>
          <w:p w:rsidR="004C2388" w:rsidRPr="0090762F" w:rsidRDefault="004C2388" w:rsidP="00934825">
            <w:pPr>
              <w:rPr>
                <w:lang w:val="uk-UA"/>
              </w:rPr>
            </w:pPr>
          </w:p>
        </w:tc>
      </w:tr>
    </w:tbl>
    <w:p w:rsidR="00862735" w:rsidRPr="0090762F" w:rsidRDefault="00862735" w:rsidP="00862735">
      <w:pPr>
        <w:jc w:val="right"/>
        <w:rPr>
          <w:sz w:val="20"/>
          <w:lang w:val="uk-UA"/>
        </w:rPr>
      </w:pPr>
      <w:r w:rsidRPr="0090762F">
        <w:rPr>
          <w:sz w:val="20"/>
          <w:lang w:val="uk-UA"/>
        </w:rPr>
        <w:t xml:space="preserve">Форма  </w:t>
      </w:r>
      <w:proofErr w:type="spellStart"/>
      <w:r w:rsidR="00874C00" w:rsidRPr="0090762F">
        <w:rPr>
          <w:sz w:val="20"/>
          <w:lang w:val="uk-UA"/>
        </w:rPr>
        <w:t>Д</w:t>
      </w:r>
      <w:r w:rsidRPr="0090762F">
        <w:rPr>
          <w:sz w:val="20"/>
          <w:lang w:val="uk-UA"/>
        </w:rPr>
        <w:t>В</w:t>
      </w:r>
      <w:proofErr w:type="spellEnd"/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952"/>
        <w:gridCol w:w="2814"/>
        <w:gridCol w:w="1606"/>
        <w:gridCol w:w="755"/>
        <w:gridCol w:w="756"/>
        <w:gridCol w:w="755"/>
        <w:gridCol w:w="756"/>
        <w:gridCol w:w="755"/>
        <w:gridCol w:w="455"/>
        <w:gridCol w:w="301"/>
        <w:gridCol w:w="755"/>
        <w:gridCol w:w="756"/>
        <w:gridCol w:w="755"/>
        <w:gridCol w:w="854"/>
      </w:tblGrid>
      <w:tr w:rsidR="0090762F" w:rsidRPr="0090762F" w:rsidTr="00083B13">
        <w:trPr>
          <w:cantSplit/>
          <w:trHeight w:val="397"/>
        </w:trPr>
        <w:tc>
          <w:tcPr>
            <w:tcW w:w="601" w:type="dxa"/>
            <w:vMerge w:val="restart"/>
            <w:vAlign w:val="center"/>
          </w:tcPr>
          <w:p w:rsidR="00862735" w:rsidRPr="0090762F" w:rsidRDefault="00862735" w:rsidP="00862735">
            <w:pPr>
              <w:ind w:left="-36"/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01</w:t>
            </w:r>
          </w:p>
        </w:tc>
        <w:tc>
          <w:tcPr>
            <w:tcW w:w="5867" w:type="dxa"/>
            <w:gridSpan w:val="2"/>
            <w:vMerge w:val="restart"/>
            <w:vAlign w:val="center"/>
          </w:tcPr>
          <w:p w:rsidR="00862735" w:rsidRPr="0090762F" w:rsidRDefault="00862735" w:rsidP="008627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0762F">
              <w:rPr>
                <w:b/>
                <w:sz w:val="20"/>
                <w:szCs w:val="20"/>
                <w:lang w:val="uk-UA"/>
              </w:rPr>
              <w:t xml:space="preserve">Довідка </w:t>
            </w:r>
            <w:r w:rsidR="00D57D85" w:rsidRPr="0090762F">
              <w:rPr>
                <w:b/>
                <w:sz w:val="20"/>
                <w:szCs w:val="20"/>
                <w:lang w:val="uk-UA"/>
              </w:rPr>
              <w:t xml:space="preserve">виробника </w:t>
            </w:r>
            <w:r w:rsidRPr="0090762F">
              <w:rPr>
                <w:b/>
                <w:sz w:val="20"/>
                <w:szCs w:val="20"/>
                <w:lang w:val="uk-UA"/>
              </w:rPr>
              <w:t>про фактичні залишки пального на початок та кінець звітної доби та про добові фактичні обсяги отриманого та реалізованого пального*</w:t>
            </w:r>
          </w:p>
        </w:tc>
        <w:tc>
          <w:tcPr>
            <w:tcW w:w="1631" w:type="dxa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01.1</w:t>
            </w:r>
          </w:p>
        </w:tc>
        <w:tc>
          <w:tcPr>
            <w:tcW w:w="4282" w:type="dxa"/>
            <w:gridSpan w:val="6"/>
            <w:vAlign w:val="center"/>
          </w:tcPr>
          <w:p w:rsidR="00862735" w:rsidRPr="0090762F" w:rsidRDefault="00862735" w:rsidP="00BB4C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основн</w:t>
            </w:r>
            <w:r w:rsidR="00BB4C63" w:rsidRPr="0090762F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862735" w:rsidRPr="0090762F" w:rsidRDefault="00862735" w:rsidP="00862735">
            <w:pPr>
              <w:ind w:left="-22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0762F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3F27F7" wp14:editId="42ED1F5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-14605</wp:posOffset>
                      </wp:positionV>
                      <wp:extent cx="232410" cy="180975"/>
                      <wp:effectExtent l="0" t="0" r="1524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809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3E1BD" id="Прямоугольник 1" o:spid="_x0000_s1026" style="position:absolute;margin-left:62.9pt;margin-top:-1.15pt;width:18.3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" fillcolor="white [3201]" strokecolor="black [3200]"/>
                  </w:pict>
                </mc:Fallback>
              </mc:AlternateContent>
            </w:r>
          </w:p>
        </w:tc>
      </w:tr>
      <w:tr w:rsidR="0090762F" w:rsidRPr="0090762F" w:rsidTr="00083B13">
        <w:trPr>
          <w:cantSplit/>
          <w:trHeight w:val="397"/>
        </w:trPr>
        <w:tc>
          <w:tcPr>
            <w:tcW w:w="601" w:type="dxa"/>
            <w:vMerge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</w:tcPr>
          <w:p w:rsidR="00862735" w:rsidRPr="0090762F" w:rsidRDefault="00862735" w:rsidP="0086273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01.2</w:t>
            </w:r>
          </w:p>
        </w:tc>
        <w:tc>
          <w:tcPr>
            <w:tcW w:w="4282" w:type="dxa"/>
            <w:gridSpan w:val="6"/>
            <w:vAlign w:val="center"/>
          </w:tcPr>
          <w:p w:rsidR="00862735" w:rsidRPr="0090762F" w:rsidRDefault="00862735" w:rsidP="00BB4C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коригуюч</w:t>
            </w:r>
            <w:r w:rsidR="00BB4C63" w:rsidRPr="0090762F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862735" w:rsidRPr="0090762F" w:rsidRDefault="00862735" w:rsidP="00862735">
            <w:pPr>
              <w:ind w:left="-22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0762F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D87366" wp14:editId="13CFD045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19685</wp:posOffset>
                      </wp:positionV>
                      <wp:extent cx="232410" cy="180975"/>
                      <wp:effectExtent l="0" t="0" r="1524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809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8E28E" id="Прямоугольник 2" o:spid="_x0000_s1026" style="position:absolute;margin-left:62.5pt;margin-top:1.55pt;width:18.3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" fillcolor="white [3201]" strokecolor="black [3200]"/>
                  </w:pict>
                </mc:Fallback>
              </mc:AlternateContent>
            </w:r>
          </w:p>
        </w:tc>
      </w:tr>
      <w:tr w:rsidR="0090762F" w:rsidRPr="0090762F" w:rsidTr="00083B13">
        <w:trPr>
          <w:cantSplit/>
          <w:trHeight w:val="284"/>
        </w:trPr>
        <w:tc>
          <w:tcPr>
            <w:tcW w:w="601" w:type="dxa"/>
            <w:vMerge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</w:tcPr>
          <w:p w:rsidR="00862735" w:rsidRPr="0090762F" w:rsidRDefault="00862735" w:rsidP="0086273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01.3</w:t>
            </w:r>
          </w:p>
        </w:tc>
        <w:tc>
          <w:tcPr>
            <w:tcW w:w="4282" w:type="dxa"/>
            <w:gridSpan w:val="6"/>
            <w:vAlign w:val="center"/>
          </w:tcPr>
          <w:p w:rsidR="00862735" w:rsidRPr="0090762F" w:rsidRDefault="00862735" w:rsidP="0003681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дата складання коригуючо</w:t>
            </w:r>
            <w:r w:rsidR="0003681F" w:rsidRPr="0090762F">
              <w:rPr>
                <w:bCs/>
                <w:sz w:val="20"/>
                <w:szCs w:val="20"/>
                <w:lang w:val="uk-UA"/>
              </w:rPr>
              <w:t xml:space="preserve">ї довідки 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862735" w:rsidRPr="0090762F" w:rsidRDefault="00862735" w:rsidP="00862735">
            <w:pPr>
              <w:ind w:left="-22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 xml:space="preserve">ДД ММ РРРР </w:t>
            </w:r>
          </w:p>
        </w:tc>
      </w:tr>
      <w:tr w:rsidR="0090762F" w:rsidRPr="0090762F" w:rsidTr="00083B13">
        <w:trPr>
          <w:cantSplit/>
          <w:trHeight w:val="284"/>
        </w:trPr>
        <w:tc>
          <w:tcPr>
            <w:tcW w:w="601" w:type="dxa"/>
            <w:vMerge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</w:tcPr>
          <w:p w:rsidR="00862735" w:rsidRPr="0090762F" w:rsidRDefault="00862735" w:rsidP="0086273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01.4</w:t>
            </w:r>
          </w:p>
        </w:tc>
        <w:tc>
          <w:tcPr>
            <w:tcW w:w="4282" w:type="dxa"/>
            <w:gridSpan w:val="6"/>
            <w:vAlign w:val="center"/>
          </w:tcPr>
          <w:p w:rsidR="00862735" w:rsidRPr="0090762F" w:rsidRDefault="00862735" w:rsidP="0003681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порядковий номер коригуючо</w:t>
            </w:r>
            <w:r w:rsidR="0003681F" w:rsidRPr="0090762F">
              <w:rPr>
                <w:bCs/>
                <w:sz w:val="20"/>
                <w:szCs w:val="20"/>
                <w:lang w:val="uk-UA"/>
              </w:rPr>
              <w:t>ї довідки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862735" w:rsidRPr="0090762F" w:rsidRDefault="00862735" w:rsidP="00862735">
            <w:pPr>
              <w:ind w:left="-22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762F" w:rsidRPr="0090762F" w:rsidTr="00083B13">
        <w:trPr>
          <w:cantSplit/>
          <w:trHeight w:val="227"/>
        </w:trPr>
        <w:tc>
          <w:tcPr>
            <w:tcW w:w="601" w:type="dxa"/>
            <w:vMerge w:val="restart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5867" w:type="dxa"/>
            <w:gridSpan w:val="2"/>
            <w:vMerge w:val="restart"/>
            <w:vAlign w:val="center"/>
          </w:tcPr>
          <w:p w:rsidR="00862735" w:rsidRPr="0090762F" w:rsidRDefault="00FE226E" w:rsidP="005C7467">
            <w:pPr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Звітний період</w:t>
            </w:r>
          </w:p>
        </w:tc>
        <w:tc>
          <w:tcPr>
            <w:tcW w:w="1631" w:type="dxa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02.1</w:t>
            </w:r>
          </w:p>
        </w:tc>
        <w:tc>
          <w:tcPr>
            <w:tcW w:w="4282" w:type="dxa"/>
            <w:gridSpan w:val="6"/>
            <w:vAlign w:val="center"/>
          </w:tcPr>
          <w:p w:rsidR="00862735" w:rsidRPr="0090762F" w:rsidRDefault="000E3860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п</w:t>
            </w:r>
            <w:r w:rsidR="00862735" w:rsidRPr="0090762F">
              <w:rPr>
                <w:sz w:val="20"/>
                <w:szCs w:val="20"/>
                <w:lang w:val="uk-UA"/>
              </w:rPr>
              <w:t>очаток звітного періоду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 xml:space="preserve">ДД ММ РРРР </w:t>
            </w:r>
            <w:r w:rsidRPr="0090762F">
              <w:rPr>
                <w:bCs/>
                <w:sz w:val="20"/>
                <w:szCs w:val="20"/>
                <w:lang w:val="uk-UA"/>
              </w:rPr>
              <w:t>ГГ:ХВ</w:t>
            </w:r>
          </w:p>
        </w:tc>
      </w:tr>
      <w:tr w:rsidR="0090762F" w:rsidRPr="0090762F" w:rsidTr="00083B13">
        <w:trPr>
          <w:cantSplit/>
          <w:trHeight w:val="227"/>
        </w:trPr>
        <w:tc>
          <w:tcPr>
            <w:tcW w:w="601" w:type="dxa"/>
            <w:vMerge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02.2</w:t>
            </w:r>
          </w:p>
        </w:tc>
        <w:tc>
          <w:tcPr>
            <w:tcW w:w="4282" w:type="dxa"/>
            <w:gridSpan w:val="6"/>
            <w:vAlign w:val="center"/>
          </w:tcPr>
          <w:p w:rsidR="00862735" w:rsidRPr="0090762F" w:rsidRDefault="000E3860" w:rsidP="00862735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к</w:t>
            </w:r>
            <w:r w:rsidR="00862735" w:rsidRPr="0090762F">
              <w:rPr>
                <w:bCs/>
                <w:sz w:val="20"/>
                <w:szCs w:val="20"/>
                <w:lang w:val="uk-UA"/>
              </w:rPr>
              <w:t>інець звітного періоду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 xml:space="preserve">ДД ММ РРРР </w:t>
            </w:r>
            <w:r w:rsidRPr="0090762F">
              <w:rPr>
                <w:bCs/>
                <w:sz w:val="20"/>
                <w:szCs w:val="20"/>
                <w:lang w:val="uk-UA"/>
              </w:rPr>
              <w:t>ГГ:ХВ</w:t>
            </w:r>
          </w:p>
        </w:tc>
      </w:tr>
      <w:tr w:rsidR="0090762F" w:rsidRPr="0090762F" w:rsidTr="00083B13">
        <w:trPr>
          <w:cantSplit/>
          <w:trHeight w:val="227"/>
        </w:trPr>
        <w:tc>
          <w:tcPr>
            <w:tcW w:w="601" w:type="dxa"/>
            <w:vMerge w:val="restart"/>
            <w:vAlign w:val="center"/>
          </w:tcPr>
          <w:p w:rsidR="00862735" w:rsidRPr="0090762F" w:rsidRDefault="00862735" w:rsidP="00273817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</w:t>
            </w:r>
            <w:r w:rsidR="00273817" w:rsidRPr="009076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:rsidR="00862735" w:rsidRPr="0090762F" w:rsidRDefault="00862735" w:rsidP="005C7467">
            <w:pPr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Реєстраційний номер основної довідки</w:t>
            </w:r>
          </w:p>
        </w:tc>
        <w:tc>
          <w:tcPr>
            <w:tcW w:w="4496" w:type="dxa"/>
            <w:gridSpan w:val="2"/>
            <w:vAlign w:val="center"/>
          </w:tcPr>
          <w:p w:rsidR="00862735" w:rsidRPr="0090762F" w:rsidRDefault="00862735" w:rsidP="00B72A9B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поданої за попередн</w:t>
            </w:r>
            <w:r w:rsidR="00B72A9B" w:rsidRPr="0090762F">
              <w:rPr>
                <w:sz w:val="20"/>
                <w:szCs w:val="20"/>
                <w:lang w:val="uk-UA"/>
              </w:rPr>
              <w:t>ій звітний період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762F" w:rsidRPr="0090762F" w:rsidTr="00083B13">
        <w:trPr>
          <w:cantSplit/>
          <w:trHeight w:val="227"/>
        </w:trPr>
        <w:tc>
          <w:tcPr>
            <w:tcW w:w="601" w:type="dxa"/>
            <w:vMerge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02" w:type="dxa"/>
            <w:vMerge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6" w:type="dxa"/>
            <w:gridSpan w:val="2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яка коригується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762F" w:rsidRPr="0090762F" w:rsidTr="00C642D7">
        <w:trPr>
          <w:cantSplit/>
          <w:trHeight w:val="227"/>
        </w:trPr>
        <w:tc>
          <w:tcPr>
            <w:tcW w:w="601" w:type="dxa"/>
            <w:vAlign w:val="center"/>
          </w:tcPr>
          <w:p w:rsidR="00FE226E" w:rsidRPr="0090762F" w:rsidRDefault="00FE226E" w:rsidP="00273817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FE226E" w:rsidRPr="0090762F" w:rsidRDefault="003932D3" w:rsidP="005C7467">
            <w:pPr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Реєстраційний номер п</w:t>
            </w:r>
            <w:r w:rsidR="005C7467" w:rsidRPr="0090762F">
              <w:rPr>
                <w:sz w:val="20"/>
                <w:szCs w:val="20"/>
                <w:lang w:val="uk-UA"/>
              </w:rPr>
              <w:t>опередньої коригуючої довідки (</w:t>
            </w:r>
            <w:r w:rsidRPr="0090762F">
              <w:rPr>
                <w:sz w:val="20"/>
                <w:szCs w:val="20"/>
                <w:lang w:val="uk-UA"/>
              </w:rPr>
              <w:t>у разі подання такої довідки більше одного разу)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E226E" w:rsidRPr="0090762F" w:rsidRDefault="00FE226E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762F" w:rsidRPr="0090762F" w:rsidTr="00C642D7">
        <w:trPr>
          <w:cantSplit/>
          <w:trHeight w:val="227"/>
        </w:trPr>
        <w:tc>
          <w:tcPr>
            <w:tcW w:w="601" w:type="dxa"/>
            <w:vAlign w:val="center"/>
          </w:tcPr>
          <w:p w:rsidR="00862735" w:rsidRPr="0090762F" w:rsidRDefault="00FE226E" w:rsidP="002738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05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862735" w:rsidRPr="0090762F" w:rsidRDefault="00EC4FE9" w:rsidP="005C7467">
            <w:pPr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Податковий номер (код ЄДРПОУ/РНОКПП/серія</w:t>
            </w:r>
            <w:r w:rsidR="005C7467" w:rsidRPr="0090762F">
              <w:rPr>
                <w:sz w:val="20"/>
                <w:szCs w:val="20"/>
                <w:lang w:val="uk-UA"/>
              </w:rPr>
              <w:t xml:space="preserve"> (за наявності)</w:t>
            </w:r>
            <w:r w:rsidRPr="0090762F">
              <w:rPr>
                <w:sz w:val="20"/>
                <w:szCs w:val="20"/>
                <w:lang w:val="uk-UA"/>
              </w:rPr>
              <w:t xml:space="preserve"> та номер паспорта**/податковий номер, який виданий контролюючим органом)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762F" w:rsidRPr="0090762F" w:rsidTr="00083B13">
        <w:trPr>
          <w:cantSplit/>
          <w:trHeight w:val="227"/>
        </w:trPr>
        <w:tc>
          <w:tcPr>
            <w:tcW w:w="601" w:type="dxa"/>
            <w:vAlign w:val="center"/>
          </w:tcPr>
          <w:p w:rsidR="00862735" w:rsidRPr="0090762F" w:rsidRDefault="00FE226E" w:rsidP="00273817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06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862735" w:rsidRPr="0090762F" w:rsidRDefault="00862735" w:rsidP="005C7467">
            <w:pPr>
              <w:rPr>
                <w:bCs/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Ознака джерела податкового номера</w:t>
            </w:r>
            <w:r w:rsidR="00885911" w:rsidRPr="0090762F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762F" w:rsidRPr="0090762F" w:rsidTr="00083B13">
        <w:trPr>
          <w:cantSplit/>
          <w:trHeight w:val="227"/>
        </w:trPr>
        <w:tc>
          <w:tcPr>
            <w:tcW w:w="601" w:type="dxa"/>
            <w:vAlign w:val="center"/>
          </w:tcPr>
          <w:p w:rsidR="00862735" w:rsidRPr="0090762F" w:rsidRDefault="00FE226E" w:rsidP="00273817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07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862735" w:rsidRPr="0090762F" w:rsidRDefault="00B02A05" w:rsidP="005C7467">
            <w:pPr>
              <w:rPr>
                <w:sz w:val="20"/>
                <w:szCs w:val="20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Назва платника або прізвище, ім’я та по батькові (за наявності) фізичної особи</w:t>
            </w:r>
            <w:r w:rsidR="000E3860" w:rsidRPr="0090762F"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90762F">
              <w:rPr>
                <w:bCs/>
                <w:sz w:val="20"/>
                <w:szCs w:val="20"/>
                <w:lang w:val="uk-UA"/>
              </w:rPr>
              <w:t>підприєм</w:t>
            </w:r>
            <w:r w:rsidR="000E3860" w:rsidRPr="0090762F">
              <w:rPr>
                <w:bCs/>
                <w:sz w:val="20"/>
                <w:szCs w:val="20"/>
                <w:lang w:val="uk-UA"/>
              </w:rPr>
              <w:t>ця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2735" w:rsidRPr="0090762F" w:rsidTr="006C3FC4">
        <w:trPr>
          <w:cantSplit/>
          <w:trHeight w:val="313"/>
        </w:trPr>
        <w:tc>
          <w:tcPr>
            <w:tcW w:w="601" w:type="dxa"/>
            <w:vAlign w:val="center"/>
          </w:tcPr>
          <w:p w:rsidR="00862735" w:rsidRPr="0090762F" w:rsidRDefault="00FE226E" w:rsidP="00273817">
            <w:pPr>
              <w:jc w:val="center"/>
              <w:rPr>
                <w:sz w:val="20"/>
                <w:szCs w:val="20"/>
                <w:lang w:val="uk-UA"/>
              </w:rPr>
            </w:pPr>
            <w:r w:rsidRPr="0090762F">
              <w:rPr>
                <w:sz w:val="20"/>
                <w:szCs w:val="20"/>
                <w:lang w:val="uk-UA"/>
              </w:rPr>
              <w:t>08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862735" w:rsidRPr="0090762F" w:rsidRDefault="00862735" w:rsidP="005C7467">
            <w:pPr>
              <w:rPr>
                <w:bCs/>
                <w:sz w:val="20"/>
                <w:szCs w:val="20"/>
                <w:vertAlign w:val="superscript"/>
                <w:lang w:val="uk-UA"/>
              </w:rPr>
            </w:pPr>
            <w:r w:rsidRPr="0090762F">
              <w:rPr>
                <w:bCs/>
                <w:sz w:val="20"/>
                <w:szCs w:val="20"/>
                <w:lang w:val="uk-UA"/>
              </w:rPr>
              <w:t>Уніфікований номер акцизного складу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862735" w:rsidRPr="0090762F" w:rsidRDefault="00862735" w:rsidP="00862735">
      <w:pPr>
        <w:rPr>
          <w:sz w:val="16"/>
          <w:szCs w:val="16"/>
          <w:lang w:val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882"/>
        <w:gridCol w:w="992"/>
        <w:gridCol w:w="992"/>
        <w:gridCol w:w="993"/>
        <w:gridCol w:w="1417"/>
        <w:gridCol w:w="1134"/>
        <w:gridCol w:w="1418"/>
        <w:gridCol w:w="992"/>
        <w:gridCol w:w="1276"/>
        <w:gridCol w:w="992"/>
        <w:gridCol w:w="1276"/>
        <w:gridCol w:w="992"/>
        <w:gridCol w:w="1276"/>
        <w:gridCol w:w="639"/>
      </w:tblGrid>
      <w:tr w:rsidR="0090762F" w:rsidRPr="0090762F" w:rsidTr="00045126">
        <w:trPr>
          <w:cantSplit/>
          <w:trHeight w:val="495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8"/>
                <w:szCs w:val="18"/>
                <w:lang w:val="uk-UA"/>
              </w:rPr>
            </w:pPr>
            <w:r w:rsidRPr="0090762F">
              <w:rPr>
                <w:sz w:val="18"/>
                <w:szCs w:val="18"/>
                <w:lang w:val="uk-UA"/>
              </w:rPr>
              <w:t>09</w:t>
            </w:r>
          </w:p>
        </w:tc>
        <w:tc>
          <w:tcPr>
            <w:tcW w:w="15271" w:type="dxa"/>
            <w:gridSpan w:val="14"/>
          </w:tcPr>
          <w:p w:rsidR="00E70DAA" w:rsidRPr="0090762F" w:rsidRDefault="00E70DAA" w:rsidP="00862735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90762F">
              <w:rPr>
                <w:b/>
                <w:bCs/>
                <w:sz w:val="18"/>
                <w:szCs w:val="18"/>
                <w:lang w:val="uk-UA"/>
              </w:rPr>
              <w:t xml:space="preserve">Зведена інформація щодо загальних </w:t>
            </w:r>
            <w:r w:rsidRPr="0090762F">
              <w:rPr>
                <w:b/>
                <w:sz w:val="18"/>
                <w:szCs w:val="18"/>
                <w:lang w:val="uk-UA"/>
              </w:rPr>
              <w:t xml:space="preserve">обсягів залишків, отримання та реалізації  пального </w:t>
            </w:r>
            <w:r w:rsidRPr="0090762F">
              <w:rPr>
                <w:b/>
                <w:bCs/>
                <w:sz w:val="18"/>
                <w:szCs w:val="18"/>
                <w:lang w:val="uk-UA"/>
              </w:rPr>
              <w:t xml:space="preserve">за кодами товарної </w:t>
            </w:r>
            <w:proofErr w:type="spellStart"/>
            <w:r w:rsidRPr="0090762F">
              <w:rPr>
                <w:b/>
                <w:bCs/>
                <w:sz w:val="18"/>
                <w:szCs w:val="18"/>
                <w:lang w:val="uk-UA"/>
              </w:rPr>
              <w:t>підкатегорії</w:t>
            </w:r>
            <w:proofErr w:type="spellEnd"/>
            <w:r w:rsidRPr="0090762F">
              <w:rPr>
                <w:b/>
                <w:bCs/>
                <w:sz w:val="18"/>
                <w:szCs w:val="18"/>
                <w:lang w:val="uk-UA"/>
              </w:rPr>
              <w:t xml:space="preserve"> згідно з </w:t>
            </w:r>
            <w:proofErr w:type="spellStart"/>
            <w:r w:rsidRPr="0090762F">
              <w:rPr>
                <w:b/>
                <w:bCs/>
                <w:sz w:val="18"/>
                <w:szCs w:val="18"/>
                <w:lang w:val="uk-UA"/>
              </w:rPr>
              <w:t>УКТ</w:t>
            </w:r>
            <w:proofErr w:type="spellEnd"/>
            <w:r w:rsidRPr="0090762F">
              <w:rPr>
                <w:b/>
                <w:bCs/>
                <w:sz w:val="18"/>
                <w:szCs w:val="18"/>
                <w:lang w:val="uk-UA"/>
              </w:rPr>
              <w:t xml:space="preserve"> ЗЕД</w:t>
            </w:r>
            <w:r w:rsidRPr="0090762F">
              <w:rPr>
                <w:b/>
                <w:sz w:val="18"/>
                <w:szCs w:val="18"/>
                <w:lang w:val="uk-UA"/>
              </w:rPr>
              <w:t xml:space="preserve"> на початок та кінець звітної доби на акцизному складі </w:t>
            </w:r>
            <w:r w:rsidRPr="0090762F">
              <w:rPr>
                <w:b/>
                <w:bCs/>
                <w:sz w:val="18"/>
                <w:szCs w:val="18"/>
                <w:lang w:val="uk-UA"/>
              </w:rPr>
              <w:t>(літри, приведені до температури 15 ºС)</w:t>
            </w:r>
          </w:p>
        </w:tc>
      </w:tr>
      <w:tr w:rsidR="0090762F" w:rsidRPr="0090762F" w:rsidTr="006C3FC4">
        <w:trPr>
          <w:cantSplit/>
          <w:trHeight w:val="1219"/>
        </w:trPr>
        <w:tc>
          <w:tcPr>
            <w:tcW w:w="423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№ рядка</w:t>
            </w:r>
          </w:p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(для кори</w:t>
            </w:r>
            <w:r w:rsidR="00E638A5" w:rsidRPr="0090762F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гуючої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номер рядка, який кори</w:t>
            </w:r>
            <w:r w:rsidR="00E638A5" w:rsidRPr="0090762F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гується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Код товарної 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підкатего</w:t>
            </w:r>
            <w:r w:rsidR="00E638A5" w:rsidRPr="0090762F">
              <w:rPr>
                <w:sz w:val="16"/>
                <w:szCs w:val="16"/>
                <w:lang w:val="uk-UA"/>
              </w:rPr>
              <w:t>-</w:t>
            </w:r>
            <w:r w:rsidRPr="0090762F">
              <w:rPr>
                <w:sz w:val="16"/>
                <w:szCs w:val="16"/>
                <w:lang w:val="uk-UA"/>
              </w:rPr>
              <w:t>рії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пального  згідно з  УКТ ЗЕД/ умовний код – для  скраплено</w:t>
            </w:r>
            <w:r w:rsidR="00E638A5" w:rsidRPr="0090762F">
              <w:rPr>
                <w:sz w:val="16"/>
                <w:szCs w:val="16"/>
                <w:lang w:val="uk-UA"/>
              </w:rPr>
              <w:t>-</w:t>
            </w:r>
            <w:r w:rsidRPr="0090762F">
              <w:rPr>
                <w:sz w:val="16"/>
                <w:szCs w:val="16"/>
                <w:lang w:val="uk-UA"/>
              </w:rPr>
              <w:t>го газу</w:t>
            </w:r>
          </w:p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Опис пального за кодом товарної </w:t>
            </w:r>
          </w:p>
          <w:p w:rsidR="00045126" w:rsidRPr="0090762F" w:rsidRDefault="00E638A5" w:rsidP="0086273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0762F">
              <w:rPr>
                <w:sz w:val="16"/>
                <w:szCs w:val="16"/>
                <w:lang w:val="uk-UA"/>
              </w:rPr>
              <w:t>П</w:t>
            </w:r>
            <w:r w:rsidR="00045126" w:rsidRPr="0090762F">
              <w:rPr>
                <w:sz w:val="16"/>
                <w:szCs w:val="16"/>
                <w:lang w:val="uk-UA"/>
              </w:rPr>
              <w:t>ідкатего</w:t>
            </w:r>
            <w:r w:rsidRPr="0090762F">
              <w:rPr>
                <w:sz w:val="16"/>
                <w:szCs w:val="16"/>
                <w:lang w:val="uk-UA"/>
              </w:rPr>
              <w:t>-</w:t>
            </w:r>
            <w:r w:rsidR="00045126" w:rsidRPr="0090762F">
              <w:rPr>
                <w:sz w:val="16"/>
                <w:szCs w:val="16"/>
                <w:lang w:val="uk-UA"/>
              </w:rPr>
              <w:t>рії</w:t>
            </w:r>
            <w:proofErr w:type="spellEnd"/>
            <w:r w:rsidR="00045126" w:rsidRPr="0090762F">
              <w:rPr>
                <w:sz w:val="16"/>
                <w:szCs w:val="16"/>
                <w:lang w:val="uk-UA"/>
              </w:rPr>
              <w:t xml:space="preserve"> згідно з </w:t>
            </w:r>
            <w:proofErr w:type="spellStart"/>
            <w:r w:rsidR="00045126" w:rsidRPr="0090762F">
              <w:rPr>
                <w:sz w:val="16"/>
                <w:szCs w:val="16"/>
                <w:lang w:val="uk-UA"/>
              </w:rPr>
              <w:t>УКТ</w:t>
            </w:r>
            <w:proofErr w:type="spellEnd"/>
            <w:r w:rsidR="00045126" w:rsidRPr="0090762F">
              <w:rPr>
                <w:sz w:val="16"/>
                <w:szCs w:val="16"/>
                <w:lang w:val="uk-UA"/>
              </w:rPr>
              <w:t xml:space="preserve"> ЗЕД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5126" w:rsidRPr="0090762F" w:rsidRDefault="00045126" w:rsidP="003F21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90762F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90762F">
              <w:rPr>
                <w:bCs/>
                <w:sz w:val="16"/>
                <w:szCs w:val="16"/>
                <w:lang w:val="uk-UA"/>
              </w:rPr>
              <w:t>на початок звітної доби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45126" w:rsidRPr="0090762F" w:rsidRDefault="00045126" w:rsidP="003F21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Добовий обсяг виробленого на акцизному складі пального</w:t>
            </w:r>
          </w:p>
        </w:tc>
        <w:tc>
          <w:tcPr>
            <w:tcW w:w="2268" w:type="dxa"/>
            <w:gridSpan w:val="2"/>
            <w:vAlign w:val="center"/>
          </w:tcPr>
          <w:p w:rsidR="00045126" w:rsidRPr="0090762F" w:rsidRDefault="00045126" w:rsidP="00E638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Добовий обсяг реалізованого  з акцизного складу</w:t>
            </w:r>
            <w:r w:rsidR="00E638A5" w:rsidRPr="0090762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0762F">
              <w:rPr>
                <w:bCs/>
                <w:sz w:val="16"/>
                <w:szCs w:val="16"/>
                <w:lang w:val="uk-UA"/>
              </w:rPr>
              <w:t>пального</w:t>
            </w:r>
          </w:p>
        </w:tc>
        <w:tc>
          <w:tcPr>
            <w:tcW w:w="2268" w:type="dxa"/>
            <w:gridSpan w:val="2"/>
            <w:vAlign w:val="center"/>
          </w:tcPr>
          <w:p w:rsidR="00045126" w:rsidRPr="0090762F" w:rsidRDefault="00045126" w:rsidP="006C3FC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Добовий обсяг втраченого на акцизному складі пального, зазначеного в акцизних накладних, зареєстрованих в Є</w:t>
            </w:r>
            <w:r w:rsidR="006C3FC4">
              <w:rPr>
                <w:sz w:val="16"/>
                <w:szCs w:val="16"/>
                <w:lang w:val="uk-UA"/>
              </w:rPr>
              <w:t>диного реєстру акцизних накладних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5126" w:rsidRPr="0090762F" w:rsidRDefault="00045126" w:rsidP="003F21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90762F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90762F">
              <w:rPr>
                <w:bCs/>
                <w:sz w:val="16"/>
                <w:szCs w:val="16"/>
                <w:lang w:val="uk-UA"/>
              </w:rPr>
              <w:t>на кінець звітної доби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Тип дії (1/2) </w:t>
            </w:r>
            <w:r w:rsidRPr="0090762F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90762F" w:rsidRPr="0090762F" w:rsidTr="006C3FC4">
        <w:trPr>
          <w:cantSplit/>
          <w:trHeight w:val="1519"/>
        </w:trPr>
        <w:tc>
          <w:tcPr>
            <w:tcW w:w="423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всього</w:t>
            </w:r>
          </w:p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у т. ч.</w:t>
            </w:r>
            <w:r w:rsidRPr="0090762F">
              <w:rPr>
                <w:sz w:val="16"/>
                <w:szCs w:val="16"/>
                <w:lang w:val="uk-UA"/>
              </w:rPr>
              <w:t xml:space="preserve">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в трубопроводі (крім магістральних трубопроводів), тарі, балонах, упаковці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у т. ч.</w:t>
            </w:r>
            <w:r w:rsidRPr="0090762F">
              <w:rPr>
                <w:sz w:val="16"/>
                <w:szCs w:val="16"/>
                <w:lang w:val="uk-UA"/>
              </w:rPr>
              <w:t xml:space="preserve">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тарі, балонах, упаковці </w:t>
            </w:r>
          </w:p>
        </w:tc>
        <w:tc>
          <w:tcPr>
            <w:tcW w:w="992" w:type="dxa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у т. ч.</w:t>
            </w:r>
            <w:r w:rsidRPr="0090762F">
              <w:rPr>
                <w:sz w:val="16"/>
                <w:szCs w:val="16"/>
                <w:lang w:val="uk-UA"/>
              </w:rPr>
              <w:t xml:space="preserve">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тарі, балонах, упаковці </w:t>
            </w:r>
          </w:p>
        </w:tc>
        <w:tc>
          <w:tcPr>
            <w:tcW w:w="992" w:type="dxa"/>
            <w:vMerge w:val="restart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у т. ч.</w:t>
            </w:r>
            <w:r w:rsidRPr="0090762F">
              <w:rPr>
                <w:sz w:val="16"/>
                <w:szCs w:val="16"/>
                <w:lang w:val="uk-UA"/>
              </w:rPr>
              <w:t xml:space="preserve">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тарі, балонах, упаковці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у т. ч.</w:t>
            </w:r>
            <w:r w:rsidRPr="0090762F">
              <w:rPr>
                <w:sz w:val="16"/>
                <w:szCs w:val="16"/>
                <w:lang w:val="uk-UA"/>
              </w:rPr>
              <w:t xml:space="preserve">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в трубопроводі (крім </w:t>
            </w:r>
            <w:proofErr w:type="spellStart"/>
            <w:r w:rsidRPr="0090762F">
              <w:rPr>
                <w:bCs/>
                <w:sz w:val="16"/>
                <w:szCs w:val="16"/>
                <w:lang w:val="uk-UA"/>
              </w:rPr>
              <w:t>магі</w:t>
            </w:r>
            <w:r w:rsidR="00E638A5" w:rsidRPr="0090762F">
              <w:rPr>
                <w:bCs/>
                <w:sz w:val="16"/>
                <w:szCs w:val="16"/>
                <w:lang w:val="uk-UA"/>
              </w:rPr>
              <w:t>-</w:t>
            </w:r>
            <w:r w:rsidRPr="0090762F">
              <w:rPr>
                <w:bCs/>
                <w:sz w:val="16"/>
                <w:szCs w:val="16"/>
                <w:lang w:val="uk-UA"/>
              </w:rPr>
              <w:t>стральних</w:t>
            </w:r>
            <w:proofErr w:type="spellEnd"/>
            <w:r w:rsidRPr="0090762F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0762F">
              <w:rPr>
                <w:bCs/>
                <w:sz w:val="16"/>
                <w:szCs w:val="16"/>
                <w:lang w:val="uk-UA"/>
              </w:rPr>
              <w:t>трубопрово</w:t>
            </w:r>
            <w:proofErr w:type="spellEnd"/>
            <w:r w:rsidR="00E638A5" w:rsidRPr="0090762F">
              <w:rPr>
                <w:bCs/>
                <w:sz w:val="16"/>
                <w:szCs w:val="16"/>
                <w:lang w:val="uk-UA"/>
              </w:rPr>
              <w:t>-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дів), тарі, балонах, упаковці </w:t>
            </w: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0762F" w:rsidRPr="0090762F" w:rsidTr="00E638A5">
        <w:trPr>
          <w:cantSplit/>
          <w:trHeight w:val="383"/>
        </w:trPr>
        <w:tc>
          <w:tcPr>
            <w:tcW w:w="423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5126" w:rsidRPr="0090762F" w:rsidRDefault="00045126" w:rsidP="003A451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>гр.11.4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126" w:rsidRPr="0090762F" w:rsidRDefault="00045126" w:rsidP="00B22B18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20"/>
                <w:lang w:val="uk-UA"/>
              </w:rPr>
              <w:t>гр.9.12- гр.9.4+ гр.9.8+ гр.9.10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5126" w:rsidRPr="0090762F" w:rsidRDefault="00045126" w:rsidP="003A451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>гр.11.5</w:t>
            </w:r>
          </w:p>
        </w:tc>
        <w:tc>
          <w:tcPr>
            <w:tcW w:w="992" w:type="dxa"/>
            <w:vAlign w:val="center"/>
          </w:tcPr>
          <w:p w:rsidR="00045126" w:rsidRPr="0090762F" w:rsidRDefault="00045126" w:rsidP="005B33E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>∑гр.10.7 + ∑гр.10.10 + гр.11.6</w:t>
            </w:r>
          </w:p>
        </w:tc>
        <w:tc>
          <w:tcPr>
            <w:tcW w:w="1276" w:type="dxa"/>
            <w:vAlign w:val="center"/>
          </w:tcPr>
          <w:p w:rsidR="00045126" w:rsidRPr="0090762F" w:rsidRDefault="00045126" w:rsidP="003A451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>гр.11.6</w:t>
            </w:r>
          </w:p>
        </w:tc>
        <w:tc>
          <w:tcPr>
            <w:tcW w:w="992" w:type="dxa"/>
            <w:vMerge/>
            <w:vAlign w:val="center"/>
          </w:tcPr>
          <w:p w:rsidR="00045126" w:rsidRPr="0090762F" w:rsidRDefault="00045126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45126" w:rsidRPr="0090762F" w:rsidRDefault="00045126" w:rsidP="003A451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>гр.11.7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126" w:rsidRPr="0090762F" w:rsidRDefault="00045126" w:rsidP="00C17F0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>гр.9.4+гр.9.6-гр.9.8 – гр.9.10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126" w:rsidRPr="0090762F" w:rsidRDefault="00045126" w:rsidP="00C17F0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90762F">
              <w:rPr>
                <w:bCs/>
                <w:sz w:val="14"/>
                <w:szCs w:val="16"/>
                <w:lang w:val="uk-UA"/>
              </w:rPr>
              <w:t>гр.9.5+гр.9.7-гр.9.9 – гр.9.11</w:t>
            </w: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045126" w:rsidRPr="0090762F" w:rsidRDefault="00045126" w:rsidP="00862735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  <w:tr w:rsidR="0090762F" w:rsidRPr="0090762F" w:rsidTr="00E638A5">
        <w:trPr>
          <w:cantSplit/>
          <w:trHeight w:val="169"/>
        </w:trPr>
        <w:tc>
          <w:tcPr>
            <w:tcW w:w="423" w:type="dxa"/>
            <w:vMerge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9.7</w:t>
            </w:r>
          </w:p>
        </w:tc>
        <w:tc>
          <w:tcPr>
            <w:tcW w:w="992" w:type="dxa"/>
            <w:vAlign w:val="center"/>
          </w:tcPr>
          <w:p w:rsidR="00E70DAA" w:rsidRPr="0090762F" w:rsidRDefault="00E70DAA" w:rsidP="003A451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9.8</w:t>
            </w:r>
          </w:p>
        </w:tc>
        <w:tc>
          <w:tcPr>
            <w:tcW w:w="1276" w:type="dxa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9.9</w:t>
            </w:r>
          </w:p>
        </w:tc>
        <w:tc>
          <w:tcPr>
            <w:tcW w:w="992" w:type="dxa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9.10</w:t>
            </w:r>
          </w:p>
        </w:tc>
        <w:tc>
          <w:tcPr>
            <w:tcW w:w="1276" w:type="dxa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9.13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9.14</w:t>
            </w:r>
          </w:p>
        </w:tc>
      </w:tr>
      <w:tr w:rsidR="00045126" w:rsidRPr="0090762F" w:rsidTr="006C3FC4">
        <w:trPr>
          <w:cantSplit/>
          <w:trHeight w:val="302"/>
        </w:trPr>
        <w:tc>
          <w:tcPr>
            <w:tcW w:w="423" w:type="dxa"/>
            <w:vMerge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70DAA" w:rsidRPr="0090762F" w:rsidRDefault="00E70DAA" w:rsidP="003A4513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bCs/>
                <w:sz w:val="16"/>
                <w:szCs w:val="16"/>
                <w:highlight w:val="green"/>
                <w:lang w:val="uk-UA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0DAA" w:rsidRPr="0090762F" w:rsidRDefault="00E70DAA" w:rsidP="00862735">
            <w:pPr>
              <w:jc w:val="center"/>
              <w:rPr>
                <w:sz w:val="16"/>
                <w:szCs w:val="16"/>
                <w:highlight w:val="green"/>
                <w:lang w:val="uk-UA"/>
              </w:rPr>
            </w:pPr>
          </w:p>
        </w:tc>
      </w:tr>
    </w:tbl>
    <w:p w:rsidR="00862735" w:rsidRDefault="00862735" w:rsidP="00862735">
      <w:pPr>
        <w:rPr>
          <w:sz w:val="16"/>
          <w:szCs w:val="16"/>
          <w:lang w:val="uk-UA"/>
        </w:rPr>
      </w:pPr>
    </w:p>
    <w:p w:rsidR="006C3FC4" w:rsidRDefault="006C3FC4" w:rsidP="00862735">
      <w:pPr>
        <w:rPr>
          <w:sz w:val="16"/>
          <w:szCs w:val="16"/>
          <w:lang w:val="uk-UA"/>
        </w:rPr>
      </w:pPr>
    </w:p>
    <w:p w:rsidR="006C3FC4" w:rsidRPr="0090762F" w:rsidRDefault="006C3FC4" w:rsidP="00862735">
      <w:pPr>
        <w:rPr>
          <w:sz w:val="16"/>
          <w:szCs w:val="16"/>
          <w:lang w:val="uk-UA"/>
        </w:rPr>
      </w:pPr>
    </w:p>
    <w:tbl>
      <w:tblPr>
        <w:tblW w:w="497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93"/>
        <w:gridCol w:w="1654"/>
        <w:gridCol w:w="1671"/>
        <w:gridCol w:w="1272"/>
        <w:gridCol w:w="2121"/>
        <w:gridCol w:w="2121"/>
        <w:gridCol w:w="1672"/>
        <w:gridCol w:w="1060"/>
        <w:gridCol w:w="1060"/>
        <w:gridCol w:w="1045"/>
        <w:gridCol w:w="700"/>
      </w:tblGrid>
      <w:tr w:rsidR="0090762F" w:rsidRPr="0090762F" w:rsidTr="00862735">
        <w:trPr>
          <w:cantSplit/>
          <w:trHeight w:val="227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sz w:val="18"/>
                <w:szCs w:val="22"/>
                <w:lang w:val="uk-UA"/>
              </w:rPr>
            </w:pPr>
            <w:r w:rsidRPr="0090762F">
              <w:rPr>
                <w:sz w:val="18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15288" w:type="dxa"/>
            <w:gridSpan w:val="11"/>
            <w:shd w:val="clear" w:color="auto" w:fill="auto"/>
            <w:vAlign w:val="center"/>
          </w:tcPr>
          <w:p w:rsidR="00862735" w:rsidRPr="0090762F" w:rsidRDefault="0016447A" w:rsidP="00862735">
            <w:pPr>
              <w:jc w:val="both"/>
              <w:rPr>
                <w:b/>
                <w:sz w:val="18"/>
                <w:szCs w:val="22"/>
                <w:lang w:val="uk-UA"/>
              </w:rPr>
            </w:pPr>
            <w:r w:rsidRPr="0090762F">
              <w:rPr>
                <w:b/>
                <w:bCs/>
                <w:sz w:val="18"/>
                <w:szCs w:val="22"/>
                <w:lang w:val="uk-UA"/>
              </w:rPr>
              <w:t xml:space="preserve">Таблиця </w:t>
            </w:r>
            <w:r w:rsidR="00273817" w:rsidRPr="0090762F">
              <w:rPr>
                <w:b/>
                <w:bCs/>
                <w:sz w:val="18"/>
                <w:szCs w:val="22"/>
                <w:lang w:val="uk-UA"/>
              </w:rPr>
              <w:t>1</w:t>
            </w:r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 xml:space="preserve">. Інформація щодо добового </w:t>
            </w:r>
            <w:r w:rsidR="00862735" w:rsidRPr="0090762F">
              <w:rPr>
                <w:b/>
                <w:sz w:val="18"/>
                <w:szCs w:val="22"/>
                <w:lang w:val="uk-UA"/>
              </w:rPr>
              <w:t>обсягу реалізованого пального</w:t>
            </w:r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 xml:space="preserve"> за кодами товарної </w:t>
            </w:r>
            <w:proofErr w:type="spellStart"/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>підкатегорії</w:t>
            </w:r>
            <w:proofErr w:type="spellEnd"/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 xml:space="preserve"> згідно з </w:t>
            </w:r>
            <w:proofErr w:type="spellStart"/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>УКТ</w:t>
            </w:r>
            <w:proofErr w:type="spellEnd"/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 xml:space="preserve"> ЗЕД </w:t>
            </w:r>
            <w:r w:rsidR="00862735" w:rsidRPr="0090762F">
              <w:rPr>
                <w:b/>
                <w:sz w:val="18"/>
                <w:szCs w:val="22"/>
                <w:lang w:val="uk-UA"/>
              </w:rPr>
              <w:t xml:space="preserve">за звітну добу за показниками витратомірів, встановлених на місцях відпуску пального наливом з акцизного складу, розташованих на такому акцизному складі </w:t>
            </w:r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>(літри, приведені до температури</w:t>
            </w:r>
            <w:r w:rsidR="000E3860" w:rsidRPr="0090762F">
              <w:rPr>
                <w:b/>
                <w:bCs/>
                <w:sz w:val="18"/>
                <w:szCs w:val="22"/>
                <w:lang w:val="uk-UA"/>
              </w:rPr>
              <w:t xml:space="preserve"> </w:t>
            </w:r>
            <w:r w:rsidR="00862735" w:rsidRPr="0090762F">
              <w:rPr>
                <w:b/>
                <w:bCs/>
                <w:sz w:val="18"/>
                <w:szCs w:val="22"/>
                <w:lang w:val="uk-UA"/>
              </w:rPr>
              <w:t>15 ºС)</w:t>
            </w:r>
          </w:p>
        </w:tc>
      </w:tr>
      <w:tr w:rsidR="0090762F" w:rsidRPr="0090762F" w:rsidTr="00862735">
        <w:trPr>
          <w:cantSplit/>
          <w:trHeight w:val="281"/>
        </w:trPr>
        <w:tc>
          <w:tcPr>
            <w:tcW w:w="559" w:type="dxa"/>
            <w:vMerge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№ рядка</w:t>
            </w:r>
          </w:p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(для кори</w:t>
            </w:r>
            <w:r w:rsidR="007A25D5" w:rsidRPr="0090762F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гуючої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номер рядка, який кори</w:t>
            </w:r>
            <w:r w:rsidR="007A25D5" w:rsidRPr="0090762F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гуєть</w:t>
            </w:r>
            <w:proofErr w:type="spellEnd"/>
            <w:r w:rsidR="007A25D5" w:rsidRPr="0090762F">
              <w:rPr>
                <w:sz w:val="16"/>
                <w:szCs w:val="16"/>
                <w:lang w:val="uk-UA"/>
              </w:rPr>
              <w:t>-</w:t>
            </w:r>
            <w:r w:rsidRPr="0090762F">
              <w:rPr>
                <w:sz w:val="16"/>
                <w:szCs w:val="16"/>
                <w:lang w:val="uk-UA"/>
              </w:rPr>
              <w:t>ся)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Код товарної 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</w:t>
            </w:r>
            <w:r w:rsidR="00DA0770" w:rsidRPr="0090762F">
              <w:rPr>
                <w:sz w:val="16"/>
                <w:szCs w:val="16"/>
                <w:lang w:val="uk-UA"/>
              </w:rPr>
              <w:t xml:space="preserve">пального </w:t>
            </w:r>
            <w:r w:rsidRPr="0090762F">
              <w:rPr>
                <w:sz w:val="16"/>
                <w:szCs w:val="16"/>
                <w:lang w:val="uk-UA"/>
              </w:rPr>
              <w:t>згідно з  УКТ ЗЕД</w:t>
            </w:r>
            <w:r w:rsidR="005E1CA5" w:rsidRPr="0090762F">
              <w:rPr>
                <w:sz w:val="16"/>
                <w:szCs w:val="16"/>
                <w:lang w:val="uk-UA"/>
              </w:rPr>
              <w:t>/ умовний код – для  скрапленого газу</w:t>
            </w:r>
          </w:p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 (10 знаків)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Опис пального за кодом товарної 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згідно з 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ЗЕД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Серійний (ідентифікаційний) номер витратоміра</w:t>
            </w:r>
          </w:p>
        </w:tc>
        <w:tc>
          <w:tcPr>
            <w:tcW w:w="9214" w:type="dxa"/>
            <w:gridSpan w:val="6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Зведені за добу підсумкові дані щодо добового обсягу реалізованого пального з акцизного складу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vertAlign w:val="superscript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Тип дії (1/2)</w:t>
            </w:r>
            <w:r w:rsidRPr="0090762F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90762F" w:rsidRPr="0090762F" w:rsidTr="005E1CA5">
        <w:trPr>
          <w:cantSplit/>
          <w:trHeight w:val="1944"/>
        </w:trPr>
        <w:tc>
          <w:tcPr>
            <w:tcW w:w="559" w:type="dxa"/>
            <w:vMerge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885911" w:rsidRPr="0090762F" w:rsidRDefault="000E3860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п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 xml:space="preserve">оказники витратомірів, встановлених в </w:t>
            </w:r>
            <w:r w:rsidR="00885911" w:rsidRPr="0090762F">
              <w:rPr>
                <w:sz w:val="16"/>
                <w:szCs w:val="16"/>
                <w:lang w:val="uk-UA"/>
              </w:rPr>
              <w:t>місцях відпуску пального наливом з акцизного складу, розташованих на  акцизному складі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885911" w:rsidRPr="0090762F" w:rsidRDefault="00885911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vertAlign w:val="superscript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на початок звітної доби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85911" w:rsidRPr="0090762F" w:rsidRDefault="000E3860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п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 xml:space="preserve">оказники витратомірів, встановлених </w:t>
            </w:r>
            <w:r w:rsidRPr="0090762F">
              <w:rPr>
                <w:bCs/>
                <w:sz w:val="16"/>
                <w:szCs w:val="16"/>
                <w:lang w:val="uk-UA"/>
              </w:rPr>
              <w:t>у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85911" w:rsidRPr="0090762F">
              <w:rPr>
                <w:sz w:val="16"/>
                <w:szCs w:val="16"/>
                <w:lang w:val="uk-UA"/>
              </w:rPr>
              <w:t>місцях відпуску пального наливом з акцизного складу, розташованих на  акцизному складі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на кінець звітної доби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 xml:space="preserve">обсяги реалізованого пального за показниками витратомірів </w:t>
            </w:r>
          </w:p>
          <w:p w:rsidR="00885911" w:rsidRPr="0090762F" w:rsidRDefault="00885911" w:rsidP="003A451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(гр. 1</w:t>
            </w:r>
            <w:r w:rsidR="003A4513" w:rsidRPr="0090762F">
              <w:rPr>
                <w:bCs/>
                <w:sz w:val="16"/>
                <w:szCs w:val="16"/>
                <w:lang w:val="uk-UA"/>
              </w:rPr>
              <w:t>0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.6 </w:t>
            </w:r>
            <w:r w:rsidR="000E3860" w:rsidRPr="0090762F">
              <w:rPr>
                <w:bCs/>
                <w:sz w:val="16"/>
                <w:szCs w:val="16"/>
                <w:lang w:val="uk-UA"/>
              </w:rPr>
              <w:t>–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 гр. 1</w:t>
            </w:r>
            <w:r w:rsidR="003A4513" w:rsidRPr="0090762F">
              <w:rPr>
                <w:bCs/>
                <w:sz w:val="16"/>
                <w:szCs w:val="16"/>
                <w:lang w:val="uk-UA"/>
              </w:rPr>
              <w:t>0</w:t>
            </w:r>
            <w:r w:rsidRPr="0090762F">
              <w:rPr>
                <w:bCs/>
                <w:sz w:val="16"/>
                <w:szCs w:val="16"/>
                <w:lang w:val="uk-UA"/>
              </w:rPr>
              <w:t>.5)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показника</w:t>
            </w:r>
            <w:r w:rsidR="007A25D5" w:rsidRPr="0090762F">
              <w:rPr>
                <w:bCs/>
                <w:sz w:val="16"/>
                <w:szCs w:val="16"/>
                <w:lang w:val="uk-UA"/>
              </w:rPr>
              <w:t>-</w:t>
            </w:r>
            <w:r w:rsidRPr="0090762F">
              <w:rPr>
                <w:bCs/>
                <w:sz w:val="16"/>
                <w:szCs w:val="16"/>
                <w:lang w:val="uk-UA"/>
              </w:rPr>
              <w:t>ми інших вимірю</w:t>
            </w:r>
            <w:r w:rsidR="007A25D5" w:rsidRPr="0090762F">
              <w:rPr>
                <w:bCs/>
                <w:sz w:val="16"/>
                <w:szCs w:val="16"/>
                <w:lang w:val="uk-UA"/>
              </w:rPr>
              <w:t>-</w:t>
            </w:r>
            <w:r w:rsidRPr="0090762F">
              <w:rPr>
                <w:bCs/>
                <w:sz w:val="16"/>
                <w:szCs w:val="16"/>
                <w:lang w:val="uk-UA"/>
              </w:rPr>
              <w:t>вальних приладів</w:t>
            </w:r>
          </w:p>
          <w:p w:rsidR="00885911" w:rsidRPr="0090762F" w:rsidRDefault="00885911" w:rsidP="00542D6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на початок звітно</w:t>
            </w:r>
            <w:r w:rsidR="009D2EC4" w:rsidRPr="0090762F">
              <w:rPr>
                <w:bCs/>
                <w:sz w:val="16"/>
                <w:szCs w:val="16"/>
                <w:lang w:val="uk-UA"/>
              </w:rPr>
              <w:t xml:space="preserve">ї доби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85911" w:rsidRPr="0090762F" w:rsidRDefault="007A25D5" w:rsidP="00542D6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П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>оказника</w:t>
            </w:r>
            <w:r w:rsidRPr="0090762F">
              <w:rPr>
                <w:bCs/>
                <w:sz w:val="16"/>
                <w:szCs w:val="16"/>
                <w:lang w:val="uk-UA"/>
              </w:rPr>
              <w:t>-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>ми інших вимірю</w:t>
            </w:r>
            <w:r w:rsidRPr="0090762F">
              <w:rPr>
                <w:bCs/>
                <w:sz w:val="16"/>
                <w:szCs w:val="16"/>
                <w:lang w:val="uk-UA"/>
              </w:rPr>
              <w:t>-</w:t>
            </w:r>
            <w:r w:rsidR="00885911" w:rsidRPr="0090762F">
              <w:rPr>
                <w:bCs/>
                <w:sz w:val="16"/>
                <w:szCs w:val="16"/>
                <w:lang w:val="uk-UA"/>
              </w:rPr>
              <w:t xml:space="preserve">вальних приладів на кінець </w:t>
            </w:r>
            <w:r w:rsidR="009D2EC4" w:rsidRPr="0090762F">
              <w:rPr>
                <w:bCs/>
                <w:sz w:val="16"/>
                <w:szCs w:val="16"/>
                <w:lang w:val="uk-UA"/>
              </w:rPr>
              <w:t xml:space="preserve">звітної доби 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за показника</w:t>
            </w:r>
            <w:r w:rsidR="007A25D5" w:rsidRPr="0090762F">
              <w:rPr>
                <w:bCs/>
                <w:sz w:val="16"/>
                <w:szCs w:val="16"/>
                <w:lang w:val="uk-UA"/>
              </w:rPr>
              <w:t>-</w:t>
            </w:r>
            <w:r w:rsidRPr="0090762F">
              <w:rPr>
                <w:bCs/>
                <w:sz w:val="16"/>
                <w:szCs w:val="16"/>
                <w:lang w:val="uk-UA"/>
              </w:rPr>
              <w:t>ми інших вимірю</w:t>
            </w:r>
            <w:r w:rsidR="007A25D5" w:rsidRPr="0090762F">
              <w:rPr>
                <w:bCs/>
                <w:sz w:val="16"/>
                <w:szCs w:val="16"/>
                <w:lang w:val="uk-UA"/>
              </w:rPr>
              <w:t>-</w:t>
            </w:r>
            <w:r w:rsidRPr="0090762F">
              <w:rPr>
                <w:bCs/>
                <w:sz w:val="16"/>
                <w:szCs w:val="16"/>
                <w:lang w:val="uk-UA"/>
              </w:rPr>
              <w:t>вальних приладів</w:t>
            </w:r>
          </w:p>
          <w:p w:rsidR="00885911" w:rsidRPr="0090762F" w:rsidRDefault="00885911" w:rsidP="003A451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(гр. 1</w:t>
            </w:r>
            <w:r w:rsidR="003A4513" w:rsidRPr="0090762F">
              <w:rPr>
                <w:bCs/>
                <w:sz w:val="16"/>
                <w:szCs w:val="16"/>
                <w:lang w:val="uk-UA"/>
              </w:rPr>
              <w:t>0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.9 </w:t>
            </w:r>
            <w:r w:rsidR="000E3860" w:rsidRPr="0090762F">
              <w:rPr>
                <w:bCs/>
                <w:sz w:val="16"/>
                <w:szCs w:val="16"/>
                <w:lang w:val="uk-UA"/>
              </w:rPr>
              <w:t>–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 гр. 1</w:t>
            </w:r>
            <w:r w:rsidR="003A4513" w:rsidRPr="0090762F">
              <w:rPr>
                <w:bCs/>
                <w:sz w:val="16"/>
                <w:szCs w:val="16"/>
                <w:lang w:val="uk-UA"/>
              </w:rPr>
              <w:t>0</w:t>
            </w:r>
            <w:r w:rsidRPr="0090762F">
              <w:rPr>
                <w:bCs/>
                <w:sz w:val="16"/>
                <w:szCs w:val="16"/>
                <w:lang w:val="uk-UA"/>
              </w:rPr>
              <w:t>.8)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85911" w:rsidRPr="0090762F" w:rsidRDefault="00885911" w:rsidP="0086273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</w:tr>
      <w:tr w:rsidR="0090762F" w:rsidRPr="0090762F" w:rsidTr="003932D3">
        <w:trPr>
          <w:cantSplit/>
          <w:trHeight w:val="283"/>
        </w:trPr>
        <w:tc>
          <w:tcPr>
            <w:tcW w:w="559" w:type="dxa"/>
            <w:vMerge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bCs/>
                <w:sz w:val="16"/>
                <w:szCs w:val="16"/>
                <w:lang w:val="uk-UA"/>
              </w:rPr>
              <w:t>.5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bCs/>
                <w:sz w:val="16"/>
                <w:szCs w:val="16"/>
                <w:lang w:val="uk-UA"/>
              </w:rPr>
              <w:t>.6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bCs/>
                <w:sz w:val="16"/>
                <w:szCs w:val="16"/>
                <w:lang w:val="uk-UA"/>
              </w:rPr>
              <w:t>.7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bCs/>
                <w:sz w:val="16"/>
                <w:szCs w:val="16"/>
                <w:lang w:val="uk-UA"/>
              </w:rPr>
              <w:t>.8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62735" w:rsidRPr="0090762F" w:rsidRDefault="003A4513" w:rsidP="003A451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bCs/>
                <w:sz w:val="16"/>
                <w:szCs w:val="16"/>
                <w:lang w:val="uk-UA"/>
              </w:rPr>
              <w:t>.</w:t>
            </w:r>
            <w:r w:rsidRPr="0090762F">
              <w:rPr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bCs/>
                <w:sz w:val="16"/>
                <w:szCs w:val="16"/>
                <w:lang w:val="uk-UA"/>
              </w:rPr>
              <w:t>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2735" w:rsidRPr="0090762F" w:rsidRDefault="003A4513" w:rsidP="0027381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10</w:t>
            </w:r>
            <w:r w:rsidR="00862735" w:rsidRPr="0090762F">
              <w:rPr>
                <w:bCs/>
                <w:sz w:val="16"/>
                <w:szCs w:val="16"/>
                <w:lang w:val="uk-UA"/>
              </w:rPr>
              <w:t>.</w:t>
            </w:r>
            <w:r w:rsidR="00273817" w:rsidRPr="0090762F">
              <w:rPr>
                <w:bCs/>
                <w:sz w:val="16"/>
                <w:szCs w:val="16"/>
                <w:lang w:val="uk-UA"/>
              </w:rPr>
              <w:t>11</w:t>
            </w:r>
          </w:p>
        </w:tc>
      </w:tr>
      <w:tr w:rsidR="00862735" w:rsidRPr="0090762F" w:rsidTr="003932D3">
        <w:trPr>
          <w:cantSplit/>
          <w:trHeight w:val="283"/>
        </w:trPr>
        <w:tc>
          <w:tcPr>
            <w:tcW w:w="559" w:type="dxa"/>
            <w:vMerge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2735" w:rsidRPr="0090762F" w:rsidRDefault="00862735" w:rsidP="00862735">
            <w:pPr>
              <w:jc w:val="center"/>
              <w:rPr>
                <w:b/>
                <w:bCs/>
                <w:sz w:val="18"/>
                <w:szCs w:val="22"/>
                <w:lang w:val="uk-UA"/>
              </w:rPr>
            </w:pPr>
          </w:p>
        </w:tc>
      </w:tr>
    </w:tbl>
    <w:p w:rsidR="00862735" w:rsidRPr="0090762F" w:rsidRDefault="00862735" w:rsidP="00862735">
      <w:pPr>
        <w:rPr>
          <w:sz w:val="16"/>
          <w:szCs w:val="16"/>
          <w:lang w:val="uk-UA"/>
        </w:rPr>
      </w:pPr>
    </w:p>
    <w:tbl>
      <w:tblPr>
        <w:tblW w:w="4978" w:type="pct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733"/>
        <w:gridCol w:w="1691"/>
        <w:gridCol w:w="1701"/>
        <w:gridCol w:w="1843"/>
        <w:gridCol w:w="1984"/>
        <w:gridCol w:w="2126"/>
        <w:gridCol w:w="2268"/>
        <w:gridCol w:w="1985"/>
        <w:gridCol w:w="737"/>
      </w:tblGrid>
      <w:tr w:rsidR="0090762F" w:rsidRPr="0090762F" w:rsidTr="00045126">
        <w:trPr>
          <w:cantSplit/>
          <w:trHeight w:val="281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862735" w:rsidRPr="0090762F" w:rsidRDefault="003A4513" w:rsidP="00862735">
            <w:pPr>
              <w:jc w:val="center"/>
              <w:rPr>
                <w:sz w:val="18"/>
                <w:szCs w:val="18"/>
                <w:lang w:val="uk-UA"/>
              </w:rPr>
            </w:pPr>
            <w:r w:rsidRPr="0090762F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5068" w:type="dxa"/>
            <w:gridSpan w:val="9"/>
          </w:tcPr>
          <w:p w:rsidR="00862735" w:rsidRPr="0090762F" w:rsidRDefault="0016447A" w:rsidP="00862735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90762F">
              <w:rPr>
                <w:b/>
                <w:sz w:val="18"/>
                <w:szCs w:val="18"/>
                <w:lang w:val="uk-UA"/>
              </w:rPr>
              <w:t xml:space="preserve">Таблиця </w:t>
            </w:r>
            <w:r w:rsidR="00273817" w:rsidRPr="0090762F">
              <w:rPr>
                <w:b/>
                <w:sz w:val="18"/>
                <w:szCs w:val="18"/>
                <w:lang w:val="uk-UA"/>
              </w:rPr>
              <w:t>2</w:t>
            </w:r>
            <w:r w:rsidR="00862735" w:rsidRPr="0090762F">
              <w:rPr>
                <w:b/>
                <w:sz w:val="18"/>
                <w:szCs w:val="18"/>
                <w:lang w:val="uk-UA"/>
              </w:rPr>
              <w:t xml:space="preserve">. Інформація про обсяги залишків пального </w:t>
            </w:r>
            <w:r w:rsidR="00862735" w:rsidRPr="0090762F">
              <w:rPr>
                <w:b/>
                <w:bCs/>
                <w:sz w:val="18"/>
                <w:szCs w:val="18"/>
                <w:lang w:val="uk-UA"/>
              </w:rPr>
              <w:t xml:space="preserve">за кодом товарної </w:t>
            </w:r>
            <w:proofErr w:type="spellStart"/>
            <w:r w:rsidR="00862735" w:rsidRPr="0090762F">
              <w:rPr>
                <w:b/>
                <w:bCs/>
                <w:sz w:val="18"/>
                <w:szCs w:val="18"/>
                <w:lang w:val="uk-UA"/>
              </w:rPr>
              <w:t>підкатегорії</w:t>
            </w:r>
            <w:proofErr w:type="spellEnd"/>
            <w:r w:rsidR="00862735" w:rsidRPr="0090762F">
              <w:rPr>
                <w:b/>
                <w:bCs/>
                <w:sz w:val="18"/>
                <w:szCs w:val="18"/>
                <w:lang w:val="uk-UA"/>
              </w:rPr>
              <w:t xml:space="preserve"> згідно з </w:t>
            </w:r>
            <w:proofErr w:type="spellStart"/>
            <w:r w:rsidR="00862735" w:rsidRPr="0090762F">
              <w:rPr>
                <w:b/>
                <w:bCs/>
                <w:sz w:val="18"/>
                <w:szCs w:val="18"/>
                <w:lang w:val="uk-UA"/>
              </w:rPr>
              <w:t>УКТ</w:t>
            </w:r>
            <w:proofErr w:type="spellEnd"/>
            <w:r w:rsidR="00862735" w:rsidRPr="0090762F">
              <w:rPr>
                <w:b/>
                <w:bCs/>
                <w:sz w:val="18"/>
                <w:szCs w:val="18"/>
                <w:lang w:val="uk-UA"/>
              </w:rPr>
              <w:t xml:space="preserve"> ЗЕД</w:t>
            </w:r>
            <w:r w:rsidR="00862735" w:rsidRPr="0090762F">
              <w:rPr>
                <w:b/>
                <w:sz w:val="18"/>
                <w:szCs w:val="18"/>
                <w:lang w:val="uk-UA"/>
              </w:rPr>
              <w:t xml:space="preserve"> на акцизному складі </w:t>
            </w:r>
            <w:r w:rsidR="00862735" w:rsidRPr="0090762F">
              <w:rPr>
                <w:b/>
                <w:bCs/>
                <w:sz w:val="18"/>
                <w:szCs w:val="18"/>
                <w:lang w:val="uk-UA"/>
              </w:rPr>
              <w:t xml:space="preserve">(літри, приведені до температури 15 ºС) </w:t>
            </w:r>
            <w:r w:rsidR="000E3860" w:rsidRPr="0090762F">
              <w:rPr>
                <w:b/>
                <w:bCs/>
                <w:sz w:val="18"/>
                <w:szCs w:val="20"/>
                <w:lang w:val="uk-UA"/>
              </w:rPr>
              <w:t>у</w:t>
            </w:r>
            <w:r w:rsidR="00862735" w:rsidRPr="0090762F">
              <w:rPr>
                <w:b/>
                <w:bCs/>
                <w:sz w:val="18"/>
                <w:szCs w:val="20"/>
                <w:lang w:val="uk-UA"/>
              </w:rPr>
              <w:t xml:space="preserve"> трубопроводі (крім магістральних трубопроводів), тарі, балонах, упаковці </w:t>
            </w:r>
          </w:p>
        </w:tc>
      </w:tr>
      <w:tr w:rsidR="0090762F" w:rsidRPr="0090762F" w:rsidTr="00FD0FB3">
        <w:trPr>
          <w:cantSplit/>
          <w:trHeight w:val="2028"/>
        </w:trPr>
        <w:tc>
          <w:tcPr>
            <w:tcW w:w="557" w:type="dxa"/>
            <w:vMerge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№ рядка</w:t>
            </w:r>
          </w:p>
          <w:p w:rsidR="00885911" w:rsidRPr="0090762F" w:rsidRDefault="00885911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(для кори</w:t>
            </w:r>
            <w:r w:rsidR="007A25D5" w:rsidRPr="0090762F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гуючої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номер рядка, який кори</w:t>
            </w:r>
            <w:r w:rsidR="007A25D5" w:rsidRPr="0090762F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гуєть</w:t>
            </w:r>
            <w:proofErr w:type="spellEnd"/>
            <w:r w:rsidR="007A25D5" w:rsidRPr="0090762F">
              <w:rPr>
                <w:sz w:val="16"/>
                <w:szCs w:val="16"/>
                <w:lang w:val="uk-UA"/>
              </w:rPr>
              <w:t>-</w:t>
            </w:r>
            <w:r w:rsidRPr="0090762F">
              <w:rPr>
                <w:sz w:val="16"/>
                <w:szCs w:val="16"/>
                <w:lang w:val="uk-UA"/>
              </w:rPr>
              <w:t>ся)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Код товарної 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</w:t>
            </w:r>
            <w:r w:rsidR="00DA0770" w:rsidRPr="0090762F">
              <w:rPr>
                <w:sz w:val="16"/>
                <w:szCs w:val="16"/>
                <w:lang w:val="uk-UA"/>
              </w:rPr>
              <w:t xml:space="preserve">пального </w:t>
            </w:r>
            <w:r w:rsidRPr="0090762F">
              <w:rPr>
                <w:sz w:val="16"/>
                <w:szCs w:val="16"/>
                <w:lang w:val="uk-UA"/>
              </w:rPr>
              <w:t xml:space="preserve">згідно з УКТ ЗЕД </w:t>
            </w:r>
            <w:r w:rsidR="005E1CA5" w:rsidRPr="0090762F">
              <w:rPr>
                <w:sz w:val="16"/>
                <w:szCs w:val="16"/>
                <w:lang w:val="uk-UA"/>
              </w:rPr>
              <w:t>/ умовний код – для  скрапленого газу</w:t>
            </w:r>
          </w:p>
          <w:p w:rsidR="00555448" w:rsidRPr="0090762F" w:rsidRDefault="00555448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Опис пального за кодом товарної 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згідно з </w:t>
            </w:r>
            <w:proofErr w:type="spellStart"/>
            <w:r w:rsidRPr="0090762F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90762F">
              <w:rPr>
                <w:sz w:val="16"/>
                <w:szCs w:val="16"/>
                <w:lang w:val="uk-UA"/>
              </w:rPr>
              <w:t xml:space="preserve"> ЗЕД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90762F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на початок </w:t>
            </w:r>
            <w:r w:rsidR="00B51621" w:rsidRPr="0090762F">
              <w:rPr>
                <w:bCs/>
                <w:sz w:val="16"/>
                <w:szCs w:val="16"/>
                <w:lang w:val="uk-UA"/>
              </w:rPr>
              <w:t xml:space="preserve">звітної </w:t>
            </w:r>
            <w:r w:rsidRPr="0090762F">
              <w:rPr>
                <w:bCs/>
                <w:sz w:val="16"/>
                <w:szCs w:val="16"/>
                <w:lang w:val="uk-UA"/>
              </w:rPr>
              <w:t>доби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5448" w:rsidRPr="0090762F" w:rsidRDefault="00555448" w:rsidP="00542D6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 xml:space="preserve">Добовий обсяг виробленого </w:t>
            </w:r>
            <w:r w:rsidR="00E65671" w:rsidRPr="0090762F">
              <w:rPr>
                <w:bCs/>
                <w:sz w:val="16"/>
                <w:szCs w:val="16"/>
                <w:lang w:val="uk-UA"/>
              </w:rPr>
              <w:t xml:space="preserve">на акцизному складі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пального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5448" w:rsidRPr="0090762F" w:rsidRDefault="00555448" w:rsidP="00542D6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>Добовий обсяг реалізованого з акцизного складу</w:t>
            </w:r>
            <w:r w:rsidR="00DE7822" w:rsidRPr="0090762F">
              <w:rPr>
                <w:bCs/>
                <w:sz w:val="16"/>
                <w:szCs w:val="16"/>
                <w:lang w:val="uk-UA"/>
              </w:rPr>
              <w:t xml:space="preserve"> пального</w:t>
            </w:r>
          </w:p>
        </w:tc>
        <w:tc>
          <w:tcPr>
            <w:tcW w:w="2268" w:type="dxa"/>
            <w:vAlign w:val="center"/>
          </w:tcPr>
          <w:p w:rsidR="00555448" w:rsidRPr="0090762F" w:rsidRDefault="00555448" w:rsidP="005554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 xml:space="preserve">Добовий обсяг втраченого на акцизному складі пального, зазначеного в акцизних накладних, зареєстрованих </w:t>
            </w:r>
            <w:r w:rsidR="000E3860" w:rsidRPr="0090762F">
              <w:rPr>
                <w:sz w:val="16"/>
                <w:szCs w:val="16"/>
                <w:lang w:val="uk-UA"/>
              </w:rPr>
              <w:t>у</w:t>
            </w:r>
            <w:r w:rsidRPr="0090762F">
              <w:rPr>
                <w:sz w:val="16"/>
                <w:szCs w:val="16"/>
                <w:lang w:val="uk-UA"/>
              </w:rPr>
              <w:t xml:space="preserve"> ЄРАН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0762F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90762F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на кінець </w:t>
            </w:r>
            <w:r w:rsidR="00B51621" w:rsidRPr="0090762F">
              <w:rPr>
                <w:bCs/>
                <w:sz w:val="16"/>
                <w:szCs w:val="16"/>
                <w:lang w:val="uk-UA"/>
              </w:rPr>
              <w:t xml:space="preserve">звітної </w:t>
            </w:r>
            <w:r w:rsidRPr="0090762F">
              <w:rPr>
                <w:bCs/>
                <w:sz w:val="16"/>
                <w:szCs w:val="16"/>
                <w:lang w:val="uk-UA"/>
              </w:rPr>
              <w:t xml:space="preserve">доби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6"/>
                <w:szCs w:val="16"/>
                <w:vertAlign w:val="superscript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Тип дії (1/2)</w:t>
            </w:r>
            <w:r w:rsidR="00885911" w:rsidRPr="0090762F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90762F" w:rsidRPr="0090762F" w:rsidTr="00FD0FB3">
        <w:trPr>
          <w:cantSplit/>
          <w:trHeight w:val="227"/>
        </w:trPr>
        <w:tc>
          <w:tcPr>
            <w:tcW w:w="557" w:type="dxa"/>
            <w:vMerge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555448" w:rsidRPr="0090762F" w:rsidRDefault="00C17F01" w:rsidP="00862735">
            <w:pPr>
              <w:jc w:val="center"/>
              <w:rPr>
                <w:sz w:val="18"/>
                <w:szCs w:val="18"/>
                <w:lang w:val="uk-UA"/>
              </w:rPr>
            </w:pPr>
            <w:r w:rsidRPr="0090762F">
              <w:rPr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sz w:val="18"/>
                <w:szCs w:val="18"/>
                <w:lang w:val="uk-UA"/>
              </w:rPr>
              <w:t>.1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55448" w:rsidRPr="0090762F" w:rsidRDefault="00C17F01" w:rsidP="00862735">
            <w:pPr>
              <w:jc w:val="center"/>
              <w:rPr>
                <w:sz w:val="18"/>
                <w:szCs w:val="18"/>
                <w:lang w:val="uk-UA"/>
              </w:rPr>
            </w:pPr>
            <w:r w:rsidRPr="0090762F">
              <w:rPr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sz w:val="18"/>
                <w:szCs w:val="18"/>
                <w:lang w:val="uk-UA"/>
              </w:rPr>
              <w:t>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448" w:rsidRPr="0090762F" w:rsidRDefault="00C17F01" w:rsidP="00862735">
            <w:pPr>
              <w:jc w:val="center"/>
              <w:rPr>
                <w:sz w:val="18"/>
                <w:szCs w:val="18"/>
                <w:lang w:val="uk-UA"/>
              </w:rPr>
            </w:pPr>
            <w:r w:rsidRPr="0090762F">
              <w:rPr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sz w:val="18"/>
                <w:szCs w:val="18"/>
                <w:lang w:val="uk-UA"/>
              </w:rPr>
              <w:t>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448" w:rsidRPr="0090762F" w:rsidRDefault="00C17F01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90762F">
              <w:rPr>
                <w:bCs/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bCs/>
                <w:sz w:val="18"/>
                <w:szCs w:val="18"/>
                <w:lang w:val="uk-UA"/>
              </w:rPr>
              <w:t>.4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5448" w:rsidRPr="0090762F" w:rsidRDefault="00C17F01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90762F">
              <w:rPr>
                <w:bCs/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bCs/>
                <w:sz w:val="18"/>
                <w:szCs w:val="18"/>
                <w:lang w:val="uk-UA"/>
              </w:rPr>
              <w:t>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5448" w:rsidRPr="0090762F" w:rsidRDefault="00C17F01" w:rsidP="00555448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90762F">
              <w:rPr>
                <w:bCs/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bCs/>
                <w:sz w:val="18"/>
                <w:szCs w:val="18"/>
                <w:lang w:val="uk-UA"/>
              </w:rPr>
              <w:t>.6</w:t>
            </w:r>
          </w:p>
        </w:tc>
        <w:tc>
          <w:tcPr>
            <w:tcW w:w="2268" w:type="dxa"/>
            <w:shd w:val="clear" w:color="auto" w:fill="auto"/>
          </w:tcPr>
          <w:p w:rsidR="00555448" w:rsidRPr="0090762F" w:rsidRDefault="00C17F01" w:rsidP="00555448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90762F">
              <w:rPr>
                <w:bCs/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bCs/>
                <w:sz w:val="18"/>
                <w:szCs w:val="18"/>
                <w:lang w:val="uk-UA"/>
              </w:rPr>
              <w:t>.7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5448" w:rsidRPr="0090762F" w:rsidRDefault="00C17F01" w:rsidP="00555448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90762F">
              <w:rPr>
                <w:bCs/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bCs/>
                <w:sz w:val="18"/>
                <w:szCs w:val="18"/>
                <w:lang w:val="uk-UA"/>
              </w:rPr>
              <w:t>.8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55448" w:rsidRPr="0090762F" w:rsidRDefault="00C17F01" w:rsidP="00555448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90762F">
              <w:rPr>
                <w:bCs/>
                <w:sz w:val="18"/>
                <w:szCs w:val="18"/>
                <w:lang w:val="uk-UA"/>
              </w:rPr>
              <w:t>11</w:t>
            </w:r>
            <w:r w:rsidR="00555448" w:rsidRPr="0090762F">
              <w:rPr>
                <w:bCs/>
                <w:sz w:val="18"/>
                <w:szCs w:val="18"/>
                <w:lang w:val="uk-UA"/>
              </w:rPr>
              <w:t>.9</w:t>
            </w:r>
          </w:p>
        </w:tc>
      </w:tr>
      <w:tr w:rsidR="00555448" w:rsidRPr="0090762F" w:rsidTr="00FD0FB3">
        <w:trPr>
          <w:cantSplit/>
          <w:trHeight w:val="184"/>
        </w:trPr>
        <w:tc>
          <w:tcPr>
            <w:tcW w:w="557" w:type="dxa"/>
            <w:vMerge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55448" w:rsidRPr="0090762F" w:rsidRDefault="00555448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55448" w:rsidRPr="0090762F" w:rsidRDefault="00555448" w:rsidP="0086273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862735" w:rsidRPr="0090762F" w:rsidRDefault="00862735" w:rsidP="00862735">
      <w:pPr>
        <w:rPr>
          <w:sz w:val="8"/>
          <w:lang w:val="uk-UA"/>
        </w:rPr>
      </w:pPr>
    </w:p>
    <w:tbl>
      <w:tblPr>
        <w:tblW w:w="164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3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545"/>
      </w:tblGrid>
      <w:tr w:rsidR="0090762F" w:rsidRPr="0090762F" w:rsidTr="007356DE">
        <w:trPr>
          <w:gridAfter w:val="1"/>
          <w:wAfter w:w="540" w:type="dxa"/>
          <w:trHeight w:val="125"/>
        </w:trPr>
        <w:tc>
          <w:tcPr>
            <w:tcW w:w="12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AB7" w:rsidRPr="0090762F" w:rsidRDefault="000C2AB7" w:rsidP="007356DE">
            <w:pPr>
              <w:jc w:val="right"/>
              <w:rPr>
                <w:sz w:val="16"/>
                <w:szCs w:val="16"/>
                <w:lang w:val="uk-UA"/>
              </w:rPr>
            </w:pPr>
            <w:r w:rsidRPr="0090762F">
              <w:rPr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90762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2AB7" w:rsidRPr="0090762F" w:rsidTr="007356DE">
        <w:trPr>
          <w:trHeight w:val="269"/>
        </w:trPr>
        <w:tc>
          <w:tcPr>
            <w:tcW w:w="1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AB7" w:rsidRPr="0090762F" w:rsidRDefault="000C2AB7" w:rsidP="000E3860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90762F">
              <w:rPr>
                <w:sz w:val="16"/>
                <w:szCs w:val="16"/>
                <w:lang w:val="uk-UA"/>
              </w:rPr>
              <w:t>(</w:t>
            </w:r>
            <w:r w:rsidR="000E3860" w:rsidRPr="0090762F">
              <w:rPr>
                <w:sz w:val="16"/>
                <w:szCs w:val="16"/>
                <w:lang w:val="uk-UA"/>
              </w:rPr>
              <w:t xml:space="preserve">власне </w:t>
            </w:r>
            <w:proofErr w:type="spellStart"/>
            <w:r w:rsidR="000E3860" w:rsidRPr="0090762F">
              <w:rPr>
                <w:sz w:val="16"/>
                <w:szCs w:val="16"/>
                <w:lang w:val="uk-UA"/>
              </w:rPr>
              <w:t>імʼя</w:t>
            </w:r>
            <w:proofErr w:type="spellEnd"/>
            <w:r w:rsidR="000E3860" w:rsidRPr="0090762F">
              <w:rPr>
                <w:sz w:val="16"/>
                <w:szCs w:val="16"/>
                <w:lang w:val="uk-UA"/>
              </w:rPr>
              <w:t xml:space="preserve"> </w:t>
            </w:r>
            <w:r w:rsidRPr="0090762F">
              <w:rPr>
                <w:sz w:val="16"/>
                <w:szCs w:val="16"/>
                <w:lang w:val="uk-UA"/>
              </w:rPr>
              <w:t>та прізвище посадової (уповноваженої) особи/фізичної особи (законного представника))</w:t>
            </w:r>
          </w:p>
        </w:tc>
        <w:tc>
          <w:tcPr>
            <w:tcW w:w="366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AB7" w:rsidRPr="0090762F" w:rsidRDefault="000C2AB7" w:rsidP="007356DE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90762F">
              <w:rPr>
                <w:sz w:val="16"/>
                <w:szCs w:val="16"/>
                <w:lang w:val="uk-UA"/>
              </w:rPr>
              <w:t>(РНОКПП)</w:t>
            </w:r>
            <w:r w:rsidRPr="0090762F">
              <w:rPr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0C2AB7" w:rsidRPr="0090762F" w:rsidRDefault="000C2AB7" w:rsidP="00862735">
      <w:pPr>
        <w:rPr>
          <w:sz w:val="8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5022"/>
      </w:tblGrid>
      <w:tr w:rsidR="0090762F" w:rsidRPr="0090762F" w:rsidTr="00885911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A6593D">
            <w:pPr>
              <w:ind w:left="-24"/>
              <w:jc w:val="both"/>
              <w:rPr>
                <w:sz w:val="18"/>
                <w:szCs w:val="18"/>
                <w:lang w:val="uk-UA"/>
              </w:rPr>
            </w:pPr>
            <w:r w:rsidRPr="0090762F">
              <w:rPr>
                <w:sz w:val="16"/>
                <w:vertAlign w:val="superscript"/>
                <w:lang w:val="uk-UA"/>
              </w:rPr>
              <w:t>1</w:t>
            </w:r>
            <w:r w:rsidRPr="0090762F">
              <w:rPr>
                <w:b/>
                <w:sz w:val="16"/>
                <w:szCs w:val="16"/>
                <w:lang w:val="uk-UA"/>
              </w:rPr>
              <w:t xml:space="preserve"> Ознака</w:t>
            </w:r>
            <w:r w:rsidR="00885911" w:rsidRPr="0090762F">
              <w:rPr>
                <w:b/>
                <w:sz w:val="16"/>
                <w:szCs w:val="16"/>
                <w:lang w:val="uk-UA"/>
              </w:rPr>
              <w:t xml:space="preserve"> джерела податкового номера:</w:t>
            </w:r>
          </w:p>
        </w:tc>
      </w:tr>
      <w:tr w:rsidR="0090762F" w:rsidRPr="0090762F" w:rsidTr="00885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 xml:space="preserve">ЄДРПОУ; </w:t>
            </w:r>
          </w:p>
        </w:tc>
      </w:tr>
      <w:tr w:rsidR="0090762F" w:rsidRPr="0090762F" w:rsidTr="00885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2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ДРФО;</w:t>
            </w:r>
          </w:p>
        </w:tc>
      </w:tr>
      <w:tr w:rsidR="0090762F" w:rsidRPr="0090762F" w:rsidTr="00885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3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податковий номер, наданий контролюючим органом для юридичних осіб, які не включені до  ЄДРПОУ;</w:t>
            </w:r>
          </w:p>
        </w:tc>
      </w:tr>
      <w:tr w:rsidR="00885911" w:rsidRPr="0090762F" w:rsidTr="00885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4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паспорта).</w:t>
            </w:r>
          </w:p>
        </w:tc>
      </w:tr>
    </w:tbl>
    <w:p w:rsidR="00885911" w:rsidRPr="0090762F" w:rsidRDefault="00885911" w:rsidP="00885911">
      <w:pPr>
        <w:rPr>
          <w:sz w:val="10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5022"/>
      </w:tblGrid>
      <w:tr w:rsidR="0090762F" w:rsidRPr="0090762F" w:rsidTr="00885911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 w:rsidP="00FF0990">
            <w:pPr>
              <w:ind w:left="-24"/>
              <w:jc w:val="both"/>
              <w:rPr>
                <w:sz w:val="18"/>
                <w:szCs w:val="18"/>
                <w:lang w:val="uk-UA"/>
              </w:rPr>
            </w:pPr>
            <w:r w:rsidRPr="0090762F">
              <w:rPr>
                <w:sz w:val="16"/>
                <w:vertAlign w:val="superscript"/>
                <w:lang w:val="uk-UA"/>
              </w:rPr>
              <w:t xml:space="preserve">2 </w:t>
            </w:r>
            <w:r w:rsidR="00FF0990" w:rsidRPr="0090762F">
              <w:rPr>
                <w:b/>
                <w:sz w:val="16"/>
                <w:lang w:val="uk-UA"/>
              </w:rPr>
              <w:t>Тип дії</w:t>
            </w:r>
            <w:r w:rsidRPr="0090762F">
              <w:rPr>
                <w:b/>
                <w:sz w:val="16"/>
                <w:szCs w:val="16"/>
                <w:lang w:val="uk-UA"/>
              </w:rPr>
              <w:t>:</w:t>
            </w:r>
          </w:p>
        </w:tc>
      </w:tr>
      <w:tr w:rsidR="0090762F" w:rsidRPr="0090762F" w:rsidTr="00885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6"/>
                <w:lang w:val="uk-UA" w:eastAsia="uk-UA"/>
              </w:rPr>
            </w:pPr>
            <w:r w:rsidRPr="0090762F">
              <w:rPr>
                <w:sz w:val="16"/>
                <w:szCs w:val="16"/>
                <w:lang w:val="uk-UA"/>
              </w:rPr>
              <w:t>включення</w:t>
            </w:r>
          </w:p>
        </w:tc>
      </w:tr>
      <w:tr w:rsidR="00885911" w:rsidRPr="0090762F" w:rsidTr="00885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8"/>
                <w:lang w:val="uk-UA" w:eastAsia="uk-UA"/>
              </w:rPr>
            </w:pPr>
            <w:r w:rsidRPr="0090762F">
              <w:rPr>
                <w:sz w:val="16"/>
                <w:szCs w:val="18"/>
                <w:lang w:val="uk-UA" w:eastAsia="uk-UA"/>
              </w:rPr>
              <w:t>2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11" w:rsidRPr="0090762F" w:rsidRDefault="00885911">
            <w:pPr>
              <w:rPr>
                <w:sz w:val="16"/>
                <w:szCs w:val="16"/>
                <w:lang w:val="uk-UA" w:eastAsia="uk-UA"/>
              </w:rPr>
            </w:pPr>
            <w:r w:rsidRPr="0090762F">
              <w:rPr>
                <w:sz w:val="16"/>
                <w:szCs w:val="16"/>
                <w:lang w:val="uk-UA"/>
              </w:rPr>
              <w:t>вилучення</w:t>
            </w:r>
          </w:p>
        </w:tc>
      </w:tr>
    </w:tbl>
    <w:p w:rsidR="00D12516" w:rsidRPr="0090762F" w:rsidRDefault="00D12516" w:rsidP="007831A6">
      <w:pPr>
        <w:rPr>
          <w:sz w:val="14"/>
          <w:lang w:val="uk-UA"/>
        </w:rPr>
      </w:pPr>
    </w:p>
    <w:p w:rsidR="007831A6" w:rsidRPr="0090762F" w:rsidRDefault="007831A6" w:rsidP="007831A6">
      <w:pPr>
        <w:rPr>
          <w:i/>
          <w:sz w:val="16"/>
          <w:szCs w:val="22"/>
          <w:lang w:val="uk-UA"/>
        </w:rPr>
      </w:pPr>
      <w:r w:rsidRPr="0090762F">
        <w:rPr>
          <w:sz w:val="18"/>
          <w:lang w:val="uk-UA"/>
        </w:rPr>
        <w:t>*</w:t>
      </w:r>
      <w:r w:rsidR="007E2F1A" w:rsidRPr="0090762F">
        <w:rPr>
          <w:sz w:val="18"/>
          <w:lang w:val="uk-UA"/>
        </w:rPr>
        <w:t xml:space="preserve"> </w:t>
      </w:r>
      <w:r w:rsidR="007E2F1A" w:rsidRPr="0090762F">
        <w:rPr>
          <w:i/>
          <w:sz w:val="18"/>
          <w:lang w:val="uk-UA"/>
        </w:rPr>
        <w:t>Д</w:t>
      </w:r>
      <w:r w:rsidRPr="0090762F">
        <w:rPr>
          <w:i/>
          <w:sz w:val="16"/>
          <w:szCs w:val="22"/>
          <w:lang w:val="uk-UA"/>
        </w:rPr>
        <w:t>ля акцизних складів</w:t>
      </w:r>
      <w:r w:rsidR="007A25D5" w:rsidRPr="0090762F">
        <w:rPr>
          <w:i/>
          <w:sz w:val="16"/>
          <w:szCs w:val="22"/>
          <w:lang w:val="uk-UA"/>
        </w:rPr>
        <w:t>,</w:t>
      </w:r>
      <w:r w:rsidRPr="0090762F">
        <w:rPr>
          <w:i/>
          <w:sz w:val="16"/>
          <w:szCs w:val="22"/>
          <w:lang w:val="uk-UA"/>
        </w:rPr>
        <w:t xml:space="preserve"> на яких здійснюється діяльність з переробки нафтопродуктів, що передбачає повний технологічний цикл їх переробки в готову продукцію (пальне)</w:t>
      </w:r>
      <w:r w:rsidR="000E3860" w:rsidRPr="0090762F">
        <w:rPr>
          <w:i/>
          <w:sz w:val="16"/>
          <w:szCs w:val="22"/>
          <w:lang w:val="uk-UA"/>
        </w:rPr>
        <w:t>.</w:t>
      </w:r>
    </w:p>
    <w:p w:rsidR="00EC4FE9" w:rsidRPr="0090762F" w:rsidRDefault="00EC4FE9" w:rsidP="00EC4FE9">
      <w:pPr>
        <w:jc w:val="both"/>
        <w:rPr>
          <w:i/>
          <w:sz w:val="16"/>
          <w:szCs w:val="20"/>
          <w:lang w:val="uk-UA"/>
        </w:rPr>
      </w:pPr>
      <w:r w:rsidRPr="0090762F">
        <w:rPr>
          <w:i/>
          <w:sz w:val="16"/>
          <w:szCs w:val="20"/>
          <w:lang w:val="uk-UA"/>
        </w:rPr>
        <w:t>**</w:t>
      </w:r>
      <w:r w:rsidR="000E3860" w:rsidRPr="0090762F">
        <w:rPr>
          <w:i/>
          <w:sz w:val="16"/>
          <w:szCs w:val="20"/>
          <w:lang w:val="uk-UA"/>
        </w:rPr>
        <w:t xml:space="preserve"> </w:t>
      </w:r>
      <w:r w:rsidRPr="0090762F">
        <w:rPr>
          <w:i/>
          <w:sz w:val="16"/>
          <w:szCs w:val="20"/>
          <w:lang w:val="uk-UA"/>
        </w:rPr>
        <w:t>Серія (за наявності) та номер паспорт</w:t>
      </w:r>
      <w:r w:rsidR="000E3860" w:rsidRPr="0090762F">
        <w:rPr>
          <w:i/>
          <w:sz w:val="16"/>
          <w:szCs w:val="20"/>
          <w:lang w:val="uk-UA"/>
        </w:rPr>
        <w:t>а</w:t>
      </w:r>
      <w:r w:rsidRPr="0090762F">
        <w:rPr>
          <w:i/>
          <w:sz w:val="16"/>
          <w:szCs w:val="20"/>
          <w:lang w:val="uk-UA"/>
        </w:rPr>
        <w:t xml:space="preserve"> зазнача</w:t>
      </w:r>
      <w:r w:rsidR="000E3860" w:rsidRPr="0090762F">
        <w:rPr>
          <w:i/>
          <w:sz w:val="16"/>
          <w:szCs w:val="20"/>
          <w:lang w:val="uk-UA"/>
        </w:rPr>
        <w:t>ю</w:t>
      </w:r>
      <w:r w:rsidRPr="0090762F">
        <w:rPr>
          <w:i/>
          <w:sz w:val="16"/>
          <w:szCs w:val="20"/>
          <w:lang w:val="uk-UA"/>
        </w:rPr>
        <w:t>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  <w:r w:rsidR="000E3860" w:rsidRPr="0090762F">
        <w:rPr>
          <w:i/>
          <w:sz w:val="16"/>
          <w:szCs w:val="20"/>
          <w:lang w:val="uk-UA"/>
        </w:rPr>
        <w:t>.</w:t>
      </w:r>
    </w:p>
    <w:p w:rsidR="00EC4FE9" w:rsidRPr="0090762F" w:rsidRDefault="00EC4FE9" w:rsidP="00EC4FE9">
      <w:pPr>
        <w:rPr>
          <w:sz w:val="14"/>
          <w:lang w:val="uk-UA"/>
        </w:rPr>
      </w:pPr>
    </w:p>
    <w:p w:rsidR="00934825" w:rsidRPr="0090762F" w:rsidRDefault="00EC4FE9" w:rsidP="00EC4FE9">
      <w:pPr>
        <w:pStyle w:val="af2"/>
        <w:rPr>
          <w:b/>
          <w:sz w:val="28"/>
          <w:lang w:val="uk-UA"/>
        </w:rPr>
      </w:pPr>
      <w:r w:rsidRPr="0090762F">
        <w:rPr>
          <w:b/>
          <w:sz w:val="28"/>
          <w:lang w:val="uk-UA"/>
        </w:rPr>
        <w:t xml:space="preserve">Директор Департаменту </w:t>
      </w:r>
    </w:p>
    <w:p w:rsidR="00EC4FE9" w:rsidRPr="0090762F" w:rsidRDefault="00EC4FE9" w:rsidP="00EC4FE9">
      <w:pPr>
        <w:pStyle w:val="af2"/>
        <w:rPr>
          <w:b/>
          <w:sz w:val="28"/>
          <w:lang w:val="uk-UA"/>
        </w:rPr>
      </w:pPr>
      <w:r w:rsidRPr="0090762F">
        <w:rPr>
          <w:b/>
          <w:sz w:val="28"/>
          <w:lang w:val="uk-UA"/>
        </w:rPr>
        <w:t xml:space="preserve">податкової політики                                      </w:t>
      </w:r>
      <w:r w:rsidR="00934825" w:rsidRPr="0090762F">
        <w:rPr>
          <w:b/>
          <w:sz w:val="28"/>
          <w:lang w:val="uk-UA"/>
        </w:rPr>
        <w:t xml:space="preserve">                                             </w:t>
      </w:r>
      <w:r w:rsidRPr="0090762F">
        <w:rPr>
          <w:b/>
          <w:sz w:val="28"/>
          <w:lang w:val="uk-UA"/>
        </w:rPr>
        <w:t xml:space="preserve">                </w:t>
      </w:r>
      <w:r w:rsidR="00FD0FB3" w:rsidRPr="0090762F">
        <w:rPr>
          <w:b/>
          <w:sz w:val="28"/>
          <w:lang w:val="uk-UA"/>
        </w:rPr>
        <w:t xml:space="preserve">                  </w:t>
      </w:r>
      <w:r w:rsidRPr="0090762F">
        <w:rPr>
          <w:b/>
          <w:sz w:val="28"/>
          <w:lang w:val="uk-UA"/>
        </w:rPr>
        <w:t xml:space="preserve">                      Лариса МАКСИМЕНКО</w:t>
      </w:r>
    </w:p>
    <w:sectPr w:rsidR="00EC4FE9" w:rsidRPr="0090762F" w:rsidSect="00934825">
      <w:headerReference w:type="default" r:id="rId7"/>
      <w:pgSz w:w="16838" w:h="11906" w:orient="landscape"/>
      <w:pgMar w:top="568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4B" w:rsidRDefault="00CA6F4B">
      <w:r>
        <w:separator/>
      </w:r>
    </w:p>
  </w:endnote>
  <w:endnote w:type="continuationSeparator" w:id="0">
    <w:p w:rsidR="00CA6F4B" w:rsidRDefault="00CA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4B" w:rsidRDefault="00CA6F4B">
      <w:r>
        <w:separator/>
      </w:r>
    </w:p>
  </w:footnote>
  <w:footnote w:type="continuationSeparator" w:id="0">
    <w:p w:rsidR="00CA6F4B" w:rsidRDefault="00CA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926506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763C02" w:rsidRPr="00763C02" w:rsidRDefault="00763C02">
        <w:pPr>
          <w:pStyle w:val="a3"/>
          <w:jc w:val="center"/>
          <w:rPr>
            <w:sz w:val="12"/>
            <w:szCs w:val="12"/>
          </w:rPr>
        </w:pPr>
        <w:r w:rsidRPr="00763C02">
          <w:rPr>
            <w:sz w:val="12"/>
            <w:szCs w:val="12"/>
          </w:rPr>
          <w:fldChar w:fldCharType="begin"/>
        </w:r>
        <w:r w:rsidRPr="00763C02">
          <w:rPr>
            <w:sz w:val="12"/>
            <w:szCs w:val="12"/>
          </w:rPr>
          <w:instrText>PAGE   \* MERGEFORMAT</w:instrText>
        </w:r>
        <w:r w:rsidRPr="00763C02">
          <w:rPr>
            <w:sz w:val="12"/>
            <w:szCs w:val="12"/>
          </w:rPr>
          <w:fldChar w:fldCharType="separate"/>
        </w:r>
        <w:r w:rsidR="006C3FC4" w:rsidRPr="006C3FC4">
          <w:rPr>
            <w:noProof/>
            <w:sz w:val="12"/>
            <w:szCs w:val="12"/>
            <w:lang w:val="uk-UA"/>
          </w:rPr>
          <w:t>2</w:t>
        </w:r>
        <w:r w:rsidRPr="00763C02">
          <w:rPr>
            <w:sz w:val="12"/>
            <w:szCs w:val="12"/>
          </w:rPr>
          <w:fldChar w:fldCharType="end"/>
        </w:r>
      </w:p>
    </w:sdtContent>
  </w:sdt>
  <w:p w:rsidR="00862735" w:rsidRPr="00763C02" w:rsidRDefault="00862735">
    <w:pPr>
      <w:pStyle w:val="a3"/>
      <w:jc w:val="center"/>
      <w:rPr>
        <w:sz w:val="12"/>
        <w:szCs w:val="1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5A"/>
    <w:rsid w:val="00000A5F"/>
    <w:rsid w:val="0000688F"/>
    <w:rsid w:val="000244C0"/>
    <w:rsid w:val="00030B86"/>
    <w:rsid w:val="000319B4"/>
    <w:rsid w:val="000319B5"/>
    <w:rsid w:val="0003222E"/>
    <w:rsid w:val="000329C2"/>
    <w:rsid w:val="0003681F"/>
    <w:rsid w:val="000368CF"/>
    <w:rsid w:val="00041AB6"/>
    <w:rsid w:val="00045126"/>
    <w:rsid w:val="00046B66"/>
    <w:rsid w:val="0005198D"/>
    <w:rsid w:val="00061A88"/>
    <w:rsid w:val="00071F78"/>
    <w:rsid w:val="00073ACE"/>
    <w:rsid w:val="0007705A"/>
    <w:rsid w:val="00081356"/>
    <w:rsid w:val="0008312C"/>
    <w:rsid w:val="00083B13"/>
    <w:rsid w:val="00093153"/>
    <w:rsid w:val="000A34C4"/>
    <w:rsid w:val="000B0523"/>
    <w:rsid w:val="000B36A0"/>
    <w:rsid w:val="000C2AB7"/>
    <w:rsid w:val="000C2B5A"/>
    <w:rsid w:val="000C4E5A"/>
    <w:rsid w:val="000D0CD5"/>
    <w:rsid w:val="000D12CB"/>
    <w:rsid w:val="000E1B34"/>
    <w:rsid w:val="000E3860"/>
    <w:rsid w:val="000F4028"/>
    <w:rsid w:val="000F5563"/>
    <w:rsid w:val="001022B2"/>
    <w:rsid w:val="001064AD"/>
    <w:rsid w:val="00111CEB"/>
    <w:rsid w:val="001130D1"/>
    <w:rsid w:val="0011398E"/>
    <w:rsid w:val="00116869"/>
    <w:rsid w:val="00122B10"/>
    <w:rsid w:val="00122E4C"/>
    <w:rsid w:val="00125CFB"/>
    <w:rsid w:val="00130FB3"/>
    <w:rsid w:val="001324B2"/>
    <w:rsid w:val="00135A7C"/>
    <w:rsid w:val="00137E1A"/>
    <w:rsid w:val="00152CCC"/>
    <w:rsid w:val="001535C2"/>
    <w:rsid w:val="0015369D"/>
    <w:rsid w:val="001550DA"/>
    <w:rsid w:val="00155C42"/>
    <w:rsid w:val="001619AC"/>
    <w:rsid w:val="00161FC2"/>
    <w:rsid w:val="00162B4F"/>
    <w:rsid w:val="001632C7"/>
    <w:rsid w:val="0016447A"/>
    <w:rsid w:val="00166488"/>
    <w:rsid w:val="00170D5D"/>
    <w:rsid w:val="001837E9"/>
    <w:rsid w:val="00184DF0"/>
    <w:rsid w:val="001873A1"/>
    <w:rsid w:val="00192972"/>
    <w:rsid w:val="0019732A"/>
    <w:rsid w:val="001973B0"/>
    <w:rsid w:val="001A194A"/>
    <w:rsid w:val="001A2859"/>
    <w:rsid w:val="001A4173"/>
    <w:rsid w:val="001A43B6"/>
    <w:rsid w:val="001B35E9"/>
    <w:rsid w:val="001D2F38"/>
    <w:rsid w:val="001D3F2A"/>
    <w:rsid w:val="001D4151"/>
    <w:rsid w:val="001E2373"/>
    <w:rsid w:val="001E271F"/>
    <w:rsid w:val="001F0FA0"/>
    <w:rsid w:val="001F5929"/>
    <w:rsid w:val="00204139"/>
    <w:rsid w:val="00207DC7"/>
    <w:rsid w:val="00213831"/>
    <w:rsid w:val="00213B75"/>
    <w:rsid w:val="00214341"/>
    <w:rsid w:val="0022276A"/>
    <w:rsid w:val="00223297"/>
    <w:rsid w:val="00224A65"/>
    <w:rsid w:val="002253D6"/>
    <w:rsid w:val="00232246"/>
    <w:rsid w:val="0023380B"/>
    <w:rsid w:val="002349DF"/>
    <w:rsid w:val="00235D28"/>
    <w:rsid w:val="00236EB4"/>
    <w:rsid w:val="0024153E"/>
    <w:rsid w:val="00243C4D"/>
    <w:rsid w:val="00245F5E"/>
    <w:rsid w:val="00255272"/>
    <w:rsid w:val="00261C78"/>
    <w:rsid w:val="00266192"/>
    <w:rsid w:val="002733F3"/>
    <w:rsid w:val="00273817"/>
    <w:rsid w:val="00274776"/>
    <w:rsid w:val="0027656F"/>
    <w:rsid w:val="00280311"/>
    <w:rsid w:val="0028036F"/>
    <w:rsid w:val="00284548"/>
    <w:rsid w:val="00284A51"/>
    <w:rsid w:val="0029534F"/>
    <w:rsid w:val="00295D85"/>
    <w:rsid w:val="002976CA"/>
    <w:rsid w:val="002A08B9"/>
    <w:rsid w:val="002A2A5C"/>
    <w:rsid w:val="002A71AE"/>
    <w:rsid w:val="002A7AFB"/>
    <w:rsid w:val="002C5566"/>
    <w:rsid w:val="002D7210"/>
    <w:rsid w:val="002D77D1"/>
    <w:rsid w:val="002E170F"/>
    <w:rsid w:val="002E67E2"/>
    <w:rsid w:val="002F1A31"/>
    <w:rsid w:val="002F37C1"/>
    <w:rsid w:val="00300662"/>
    <w:rsid w:val="00304821"/>
    <w:rsid w:val="00307568"/>
    <w:rsid w:val="003127EB"/>
    <w:rsid w:val="00317655"/>
    <w:rsid w:val="00331DF4"/>
    <w:rsid w:val="00333974"/>
    <w:rsid w:val="00335CBF"/>
    <w:rsid w:val="0034352A"/>
    <w:rsid w:val="00345315"/>
    <w:rsid w:val="003501D4"/>
    <w:rsid w:val="00351791"/>
    <w:rsid w:val="00353E82"/>
    <w:rsid w:val="003545A4"/>
    <w:rsid w:val="00356462"/>
    <w:rsid w:val="00357D23"/>
    <w:rsid w:val="003602D0"/>
    <w:rsid w:val="003606F8"/>
    <w:rsid w:val="003640FF"/>
    <w:rsid w:val="00365285"/>
    <w:rsid w:val="003658FE"/>
    <w:rsid w:val="00367106"/>
    <w:rsid w:val="003706F3"/>
    <w:rsid w:val="00370782"/>
    <w:rsid w:val="003718CD"/>
    <w:rsid w:val="0037386E"/>
    <w:rsid w:val="00383A6C"/>
    <w:rsid w:val="00385A2E"/>
    <w:rsid w:val="003932D3"/>
    <w:rsid w:val="00394256"/>
    <w:rsid w:val="00396004"/>
    <w:rsid w:val="003A35DC"/>
    <w:rsid w:val="003A4513"/>
    <w:rsid w:val="003B37A3"/>
    <w:rsid w:val="003B57B9"/>
    <w:rsid w:val="003B6EFB"/>
    <w:rsid w:val="003B76E0"/>
    <w:rsid w:val="003C0BB0"/>
    <w:rsid w:val="003C330B"/>
    <w:rsid w:val="003E16D1"/>
    <w:rsid w:val="003E2C63"/>
    <w:rsid w:val="003E3A1C"/>
    <w:rsid w:val="003E744A"/>
    <w:rsid w:val="003F0D0C"/>
    <w:rsid w:val="003F21C1"/>
    <w:rsid w:val="003F339D"/>
    <w:rsid w:val="003F5C13"/>
    <w:rsid w:val="00403F1A"/>
    <w:rsid w:val="0041443C"/>
    <w:rsid w:val="004151F6"/>
    <w:rsid w:val="0041632A"/>
    <w:rsid w:val="00417CBD"/>
    <w:rsid w:val="00426E2E"/>
    <w:rsid w:val="004305A8"/>
    <w:rsid w:val="004316B2"/>
    <w:rsid w:val="004335B0"/>
    <w:rsid w:val="00435079"/>
    <w:rsid w:val="0043525F"/>
    <w:rsid w:val="00440139"/>
    <w:rsid w:val="00445067"/>
    <w:rsid w:val="00447546"/>
    <w:rsid w:val="00447C45"/>
    <w:rsid w:val="00456B9B"/>
    <w:rsid w:val="00460731"/>
    <w:rsid w:val="00462A41"/>
    <w:rsid w:val="004633A9"/>
    <w:rsid w:val="00465629"/>
    <w:rsid w:val="00472CD8"/>
    <w:rsid w:val="004805E2"/>
    <w:rsid w:val="00480893"/>
    <w:rsid w:val="00484F68"/>
    <w:rsid w:val="004877F5"/>
    <w:rsid w:val="00487A10"/>
    <w:rsid w:val="00490D87"/>
    <w:rsid w:val="00491841"/>
    <w:rsid w:val="00492004"/>
    <w:rsid w:val="00496414"/>
    <w:rsid w:val="004A1C1B"/>
    <w:rsid w:val="004A2E3F"/>
    <w:rsid w:val="004B0F13"/>
    <w:rsid w:val="004C2388"/>
    <w:rsid w:val="004D37BC"/>
    <w:rsid w:val="004D3830"/>
    <w:rsid w:val="004D722D"/>
    <w:rsid w:val="004E2D1A"/>
    <w:rsid w:val="004E3F11"/>
    <w:rsid w:val="004E5268"/>
    <w:rsid w:val="004E6D55"/>
    <w:rsid w:val="004F1546"/>
    <w:rsid w:val="004F34D9"/>
    <w:rsid w:val="004F3C3E"/>
    <w:rsid w:val="00502292"/>
    <w:rsid w:val="00502A22"/>
    <w:rsid w:val="00506B0F"/>
    <w:rsid w:val="00507BEE"/>
    <w:rsid w:val="00534096"/>
    <w:rsid w:val="00540186"/>
    <w:rsid w:val="00542D60"/>
    <w:rsid w:val="00550595"/>
    <w:rsid w:val="005509B3"/>
    <w:rsid w:val="00550EC5"/>
    <w:rsid w:val="0055187A"/>
    <w:rsid w:val="00555448"/>
    <w:rsid w:val="00563761"/>
    <w:rsid w:val="005758E1"/>
    <w:rsid w:val="0058081C"/>
    <w:rsid w:val="0058612F"/>
    <w:rsid w:val="005867D2"/>
    <w:rsid w:val="00597A53"/>
    <w:rsid w:val="005A05AE"/>
    <w:rsid w:val="005A3C66"/>
    <w:rsid w:val="005A4564"/>
    <w:rsid w:val="005B33E3"/>
    <w:rsid w:val="005B7847"/>
    <w:rsid w:val="005C7467"/>
    <w:rsid w:val="005C768C"/>
    <w:rsid w:val="005D28C7"/>
    <w:rsid w:val="005D331D"/>
    <w:rsid w:val="005E1CA5"/>
    <w:rsid w:val="005E2185"/>
    <w:rsid w:val="005E303D"/>
    <w:rsid w:val="005E5FF5"/>
    <w:rsid w:val="005F2395"/>
    <w:rsid w:val="005F415B"/>
    <w:rsid w:val="00634513"/>
    <w:rsid w:val="00634AA5"/>
    <w:rsid w:val="00636592"/>
    <w:rsid w:val="006439D8"/>
    <w:rsid w:val="00650FE5"/>
    <w:rsid w:val="0065712F"/>
    <w:rsid w:val="00661318"/>
    <w:rsid w:val="00664ECB"/>
    <w:rsid w:val="006674C3"/>
    <w:rsid w:val="00667659"/>
    <w:rsid w:val="006734AB"/>
    <w:rsid w:val="00676308"/>
    <w:rsid w:val="00681DCE"/>
    <w:rsid w:val="0068432D"/>
    <w:rsid w:val="006878F9"/>
    <w:rsid w:val="00690CF1"/>
    <w:rsid w:val="006969A3"/>
    <w:rsid w:val="00697EAC"/>
    <w:rsid w:val="006A40DA"/>
    <w:rsid w:val="006A71B9"/>
    <w:rsid w:val="006B10AD"/>
    <w:rsid w:val="006C14AE"/>
    <w:rsid w:val="006C21A2"/>
    <w:rsid w:val="006C3DB0"/>
    <w:rsid w:val="006C3FC4"/>
    <w:rsid w:val="006C721D"/>
    <w:rsid w:val="006D5FED"/>
    <w:rsid w:val="006D734F"/>
    <w:rsid w:val="006D7708"/>
    <w:rsid w:val="006E2533"/>
    <w:rsid w:val="006E37EA"/>
    <w:rsid w:val="006E69AC"/>
    <w:rsid w:val="006F6B0D"/>
    <w:rsid w:val="00700BB2"/>
    <w:rsid w:val="00702E0B"/>
    <w:rsid w:val="007040C8"/>
    <w:rsid w:val="007120A5"/>
    <w:rsid w:val="00712372"/>
    <w:rsid w:val="00713D14"/>
    <w:rsid w:val="00726DD2"/>
    <w:rsid w:val="00734069"/>
    <w:rsid w:val="00734430"/>
    <w:rsid w:val="007374DE"/>
    <w:rsid w:val="00743A81"/>
    <w:rsid w:val="007477CA"/>
    <w:rsid w:val="00750C8A"/>
    <w:rsid w:val="0075147F"/>
    <w:rsid w:val="00754081"/>
    <w:rsid w:val="007556ED"/>
    <w:rsid w:val="00756F96"/>
    <w:rsid w:val="007603A5"/>
    <w:rsid w:val="00763C02"/>
    <w:rsid w:val="0076793E"/>
    <w:rsid w:val="00770708"/>
    <w:rsid w:val="007736C1"/>
    <w:rsid w:val="00774162"/>
    <w:rsid w:val="00774F96"/>
    <w:rsid w:val="00781B45"/>
    <w:rsid w:val="0078250A"/>
    <w:rsid w:val="007831A6"/>
    <w:rsid w:val="00783CCA"/>
    <w:rsid w:val="007915F5"/>
    <w:rsid w:val="0079214C"/>
    <w:rsid w:val="007975E7"/>
    <w:rsid w:val="00797823"/>
    <w:rsid w:val="007A03B2"/>
    <w:rsid w:val="007A25D5"/>
    <w:rsid w:val="007A33EB"/>
    <w:rsid w:val="007A7241"/>
    <w:rsid w:val="007A7A5F"/>
    <w:rsid w:val="007C01DE"/>
    <w:rsid w:val="007C5B7B"/>
    <w:rsid w:val="007D1B81"/>
    <w:rsid w:val="007D464C"/>
    <w:rsid w:val="007E2F1A"/>
    <w:rsid w:val="007E3F62"/>
    <w:rsid w:val="007F5E99"/>
    <w:rsid w:val="007F6DAF"/>
    <w:rsid w:val="00800795"/>
    <w:rsid w:val="00804F82"/>
    <w:rsid w:val="00807EC6"/>
    <w:rsid w:val="00815D24"/>
    <w:rsid w:val="0082108B"/>
    <w:rsid w:val="00821F12"/>
    <w:rsid w:val="00823820"/>
    <w:rsid w:val="00825032"/>
    <w:rsid w:val="0083657C"/>
    <w:rsid w:val="00850984"/>
    <w:rsid w:val="0085508D"/>
    <w:rsid w:val="00862735"/>
    <w:rsid w:val="00863BB7"/>
    <w:rsid w:val="008679C4"/>
    <w:rsid w:val="00873CCA"/>
    <w:rsid w:val="00874C00"/>
    <w:rsid w:val="00877817"/>
    <w:rsid w:val="00877BD1"/>
    <w:rsid w:val="00881896"/>
    <w:rsid w:val="00885911"/>
    <w:rsid w:val="00887B9F"/>
    <w:rsid w:val="008A1A8F"/>
    <w:rsid w:val="008A1B78"/>
    <w:rsid w:val="008A3D3E"/>
    <w:rsid w:val="008A5EBD"/>
    <w:rsid w:val="008B023A"/>
    <w:rsid w:val="008B23BB"/>
    <w:rsid w:val="008C0362"/>
    <w:rsid w:val="008C0BA2"/>
    <w:rsid w:val="008C1C74"/>
    <w:rsid w:val="008C67B6"/>
    <w:rsid w:val="008D20A6"/>
    <w:rsid w:val="008E7B69"/>
    <w:rsid w:val="008F01E8"/>
    <w:rsid w:val="008F0F00"/>
    <w:rsid w:val="008F2204"/>
    <w:rsid w:val="008F5E42"/>
    <w:rsid w:val="008F756D"/>
    <w:rsid w:val="00901C23"/>
    <w:rsid w:val="0090762F"/>
    <w:rsid w:val="009110ED"/>
    <w:rsid w:val="009155DA"/>
    <w:rsid w:val="00915B30"/>
    <w:rsid w:val="00916D03"/>
    <w:rsid w:val="00917A6E"/>
    <w:rsid w:val="00920E5F"/>
    <w:rsid w:val="00923205"/>
    <w:rsid w:val="009309A5"/>
    <w:rsid w:val="009331DD"/>
    <w:rsid w:val="00934825"/>
    <w:rsid w:val="00934AB4"/>
    <w:rsid w:val="00941E94"/>
    <w:rsid w:val="00945360"/>
    <w:rsid w:val="0095046F"/>
    <w:rsid w:val="009561FD"/>
    <w:rsid w:val="00956CD1"/>
    <w:rsid w:val="00960FE7"/>
    <w:rsid w:val="00961F33"/>
    <w:rsid w:val="00971CCD"/>
    <w:rsid w:val="00973B2A"/>
    <w:rsid w:val="009753AE"/>
    <w:rsid w:val="00976A39"/>
    <w:rsid w:val="00977DEC"/>
    <w:rsid w:val="00981583"/>
    <w:rsid w:val="00981D36"/>
    <w:rsid w:val="009825CE"/>
    <w:rsid w:val="00982A2E"/>
    <w:rsid w:val="00982BA0"/>
    <w:rsid w:val="00992EF8"/>
    <w:rsid w:val="009939E5"/>
    <w:rsid w:val="009951D3"/>
    <w:rsid w:val="009A22A0"/>
    <w:rsid w:val="009A3F45"/>
    <w:rsid w:val="009B40A5"/>
    <w:rsid w:val="009B6AF7"/>
    <w:rsid w:val="009D0862"/>
    <w:rsid w:val="009D2EC4"/>
    <w:rsid w:val="009D52F7"/>
    <w:rsid w:val="009D657D"/>
    <w:rsid w:val="009E170D"/>
    <w:rsid w:val="009E19D2"/>
    <w:rsid w:val="009E51B4"/>
    <w:rsid w:val="009E7BE2"/>
    <w:rsid w:val="009F0CBE"/>
    <w:rsid w:val="009F2599"/>
    <w:rsid w:val="009F6CD8"/>
    <w:rsid w:val="009F72A9"/>
    <w:rsid w:val="00A10DA6"/>
    <w:rsid w:val="00A137C8"/>
    <w:rsid w:val="00A20044"/>
    <w:rsid w:val="00A275C3"/>
    <w:rsid w:val="00A27E38"/>
    <w:rsid w:val="00A32414"/>
    <w:rsid w:val="00A3453B"/>
    <w:rsid w:val="00A37CDD"/>
    <w:rsid w:val="00A40188"/>
    <w:rsid w:val="00A542E2"/>
    <w:rsid w:val="00A56D92"/>
    <w:rsid w:val="00A570A2"/>
    <w:rsid w:val="00A5752A"/>
    <w:rsid w:val="00A6593D"/>
    <w:rsid w:val="00A65968"/>
    <w:rsid w:val="00A7208E"/>
    <w:rsid w:val="00A737E5"/>
    <w:rsid w:val="00A75F6B"/>
    <w:rsid w:val="00A76321"/>
    <w:rsid w:val="00A76852"/>
    <w:rsid w:val="00A838D7"/>
    <w:rsid w:val="00A95822"/>
    <w:rsid w:val="00A97673"/>
    <w:rsid w:val="00AA2023"/>
    <w:rsid w:val="00AA3630"/>
    <w:rsid w:val="00AB00B7"/>
    <w:rsid w:val="00AB4213"/>
    <w:rsid w:val="00AB577F"/>
    <w:rsid w:val="00AC2BAE"/>
    <w:rsid w:val="00AC2EB6"/>
    <w:rsid w:val="00AC3E13"/>
    <w:rsid w:val="00AC422D"/>
    <w:rsid w:val="00AD6AC5"/>
    <w:rsid w:val="00AD76DC"/>
    <w:rsid w:val="00AD78D4"/>
    <w:rsid w:val="00AE122D"/>
    <w:rsid w:val="00AE1B20"/>
    <w:rsid w:val="00AF0898"/>
    <w:rsid w:val="00AF0B80"/>
    <w:rsid w:val="00B00167"/>
    <w:rsid w:val="00B02A05"/>
    <w:rsid w:val="00B04919"/>
    <w:rsid w:val="00B049A6"/>
    <w:rsid w:val="00B11B05"/>
    <w:rsid w:val="00B20392"/>
    <w:rsid w:val="00B203A6"/>
    <w:rsid w:val="00B22862"/>
    <w:rsid w:val="00B22B18"/>
    <w:rsid w:val="00B25427"/>
    <w:rsid w:val="00B255E7"/>
    <w:rsid w:val="00B353D9"/>
    <w:rsid w:val="00B4153C"/>
    <w:rsid w:val="00B4279F"/>
    <w:rsid w:val="00B45B15"/>
    <w:rsid w:val="00B467C6"/>
    <w:rsid w:val="00B47B06"/>
    <w:rsid w:val="00B50F05"/>
    <w:rsid w:val="00B51621"/>
    <w:rsid w:val="00B52E87"/>
    <w:rsid w:val="00B54C04"/>
    <w:rsid w:val="00B56262"/>
    <w:rsid w:val="00B61525"/>
    <w:rsid w:val="00B65F5D"/>
    <w:rsid w:val="00B66FF7"/>
    <w:rsid w:val="00B67047"/>
    <w:rsid w:val="00B71C2F"/>
    <w:rsid w:val="00B72A9B"/>
    <w:rsid w:val="00B76E9E"/>
    <w:rsid w:val="00B87912"/>
    <w:rsid w:val="00B90B32"/>
    <w:rsid w:val="00B912DD"/>
    <w:rsid w:val="00B96860"/>
    <w:rsid w:val="00BA5BBC"/>
    <w:rsid w:val="00BA6DFD"/>
    <w:rsid w:val="00BB4C63"/>
    <w:rsid w:val="00BB57F5"/>
    <w:rsid w:val="00BD6D75"/>
    <w:rsid w:val="00BE00CA"/>
    <w:rsid w:val="00BE2356"/>
    <w:rsid w:val="00BE3FA9"/>
    <w:rsid w:val="00BE41D3"/>
    <w:rsid w:val="00BF2829"/>
    <w:rsid w:val="00BF29A1"/>
    <w:rsid w:val="00BF2B5C"/>
    <w:rsid w:val="00BF38C9"/>
    <w:rsid w:val="00BF4E3D"/>
    <w:rsid w:val="00C0306A"/>
    <w:rsid w:val="00C05D7D"/>
    <w:rsid w:val="00C10ACE"/>
    <w:rsid w:val="00C10FAB"/>
    <w:rsid w:val="00C118B9"/>
    <w:rsid w:val="00C1430C"/>
    <w:rsid w:val="00C17F01"/>
    <w:rsid w:val="00C24574"/>
    <w:rsid w:val="00C26E42"/>
    <w:rsid w:val="00C41455"/>
    <w:rsid w:val="00C50DB2"/>
    <w:rsid w:val="00C57EFC"/>
    <w:rsid w:val="00C642D7"/>
    <w:rsid w:val="00C66291"/>
    <w:rsid w:val="00C744DA"/>
    <w:rsid w:val="00C76C01"/>
    <w:rsid w:val="00C77D26"/>
    <w:rsid w:val="00CA1430"/>
    <w:rsid w:val="00CA233F"/>
    <w:rsid w:val="00CA2934"/>
    <w:rsid w:val="00CA6D46"/>
    <w:rsid w:val="00CA6F4B"/>
    <w:rsid w:val="00CB07B0"/>
    <w:rsid w:val="00CB18C7"/>
    <w:rsid w:val="00CB2449"/>
    <w:rsid w:val="00CD26FF"/>
    <w:rsid w:val="00CE307F"/>
    <w:rsid w:val="00CE3582"/>
    <w:rsid w:val="00CF041B"/>
    <w:rsid w:val="00CF247F"/>
    <w:rsid w:val="00CF421A"/>
    <w:rsid w:val="00CF79BB"/>
    <w:rsid w:val="00D05E0F"/>
    <w:rsid w:val="00D123EC"/>
    <w:rsid w:val="00D12516"/>
    <w:rsid w:val="00D27C66"/>
    <w:rsid w:val="00D30B67"/>
    <w:rsid w:val="00D3193D"/>
    <w:rsid w:val="00D33900"/>
    <w:rsid w:val="00D37C4A"/>
    <w:rsid w:val="00D52CDE"/>
    <w:rsid w:val="00D57D85"/>
    <w:rsid w:val="00D633E5"/>
    <w:rsid w:val="00D64C13"/>
    <w:rsid w:val="00D64C63"/>
    <w:rsid w:val="00D7263A"/>
    <w:rsid w:val="00D7305A"/>
    <w:rsid w:val="00D74B3E"/>
    <w:rsid w:val="00D8686D"/>
    <w:rsid w:val="00D91C0F"/>
    <w:rsid w:val="00D91C76"/>
    <w:rsid w:val="00D91CC9"/>
    <w:rsid w:val="00D9373E"/>
    <w:rsid w:val="00D93E81"/>
    <w:rsid w:val="00DA00CA"/>
    <w:rsid w:val="00DA0770"/>
    <w:rsid w:val="00DB1424"/>
    <w:rsid w:val="00DB1AA5"/>
    <w:rsid w:val="00DB7F6F"/>
    <w:rsid w:val="00DC0847"/>
    <w:rsid w:val="00DC2E14"/>
    <w:rsid w:val="00DC3200"/>
    <w:rsid w:val="00DD1F89"/>
    <w:rsid w:val="00DE00D3"/>
    <w:rsid w:val="00DE55D9"/>
    <w:rsid w:val="00DE7822"/>
    <w:rsid w:val="00DF3C84"/>
    <w:rsid w:val="00E02B67"/>
    <w:rsid w:val="00E056E4"/>
    <w:rsid w:val="00E22580"/>
    <w:rsid w:val="00E33A23"/>
    <w:rsid w:val="00E456BF"/>
    <w:rsid w:val="00E53708"/>
    <w:rsid w:val="00E54941"/>
    <w:rsid w:val="00E55745"/>
    <w:rsid w:val="00E61038"/>
    <w:rsid w:val="00E62F04"/>
    <w:rsid w:val="00E638A5"/>
    <w:rsid w:val="00E64F26"/>
    <w:rsid w:val="00E65671"/>
    <w:rsid w:val="00E672FF"/>
    <w:rsid w:val="00E70DAA"/>
    <w:rsid w:val="00E82CFF"/>
    <w:rsid w:val="00E904ED"/>
    <w:rsid w:val="00E95BFC"/>
    <w:rsid w:val="00E972C4"/>
    <w:rsid w:val="00EB296A"/>
    <w:rsid w:val="00EC0920"/>
    <w:rsid w:val="00EC22F2"/>
    <w:rsid w:val="00EC4FE9"/>
    <w:rsid w:val="00ED441F"/>
    <w:rsid w:val="00ED4FA3"/>
    <w:rsid w:val="00ED7C72"/>
    <w:rsid w:val="00EE3EBB"/>
    <w:rsid w:val="00EE7671"/>
    <w:rsid w:val="00EF22C5"/>
    <w:rsid w:val="00EF43A3"/>
    <w:rsid w:val="00EF5C8E"/>
    <w:rsid w:val="00F0284C"/>
    <w:rsid w:val="00F108C9"/>
    <w:rsid w:val="00F21752"/>
    <w:rsid w:val="00F226D8"/>
    <w:rsid w:val="00F23147"/>
    <w:rsid w:val="00F23D3D"/>
    <w:rsid w:val="00F30048"/>
    <w:rsid w:val="00F32A4F"/>
    <w:rsid w:val="00F34CBB"/>
    <w:rsid w:val="00F406BA"/>
    <w:rsid w:val="00F459C3"/>
    <w:rsid w:val="00F45B04"/>
    <w:rsid w:val="00F46492"/>
    <w:rsid w:val="00F47B6F"/>
    <w:rsid w:val="00F52200"/>
    <w:rsid w:val="00F6051C"/>
    <w:rsid w:val="00F60833"/>
    <w:rsid w:val="00F611BA"/>
    <w:rsid w:val="00F73821"/>
    <w:rsid w:val="00F83F5F"/>
    <w:rsid w:val="00F92BCC"/>
    <w:rsid w:val="00F93B8F"/>
    <w:rsid w:val="00F93F6C"/>
    <w:rsid w:val="00F94ACE"/>
    <w:rsid w:val="00FB475A"/>
    <w:rsid w:val="00FB7FF3"/>
    <w:rsid w:val="00FC2467"/>
    <w:rsid w:val="00FC2A4A"/>
    <w:rsid w:val="00FC6A4F"/>
    <w:rsid w:val="00FC7034"/>
    <w:rsid w:val="00FD0519"/>
    <w:rsid w:val="00FD0FB3"/>
    <w:rsid w:val="00FE151B"/>
    <w:rsid w:val="00FE1A73"/>
    <w:rsid w:val="00FE226E"/>
    <w:rsid w:val="00FE4631"/>
    <w:rsid w:val="00FF0388"/>
    <w:rsid w:val="00FF0513"/>
    <w:rsid w:val="00FF0990"/>
    <w:rsid w:val="00FF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B2BB59"/>
  <w15:docId w15:val="{C3F167A5-2964-4CDD-BCAD-0579B230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705A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ій колонтитул Знак"/>
    <w:link w:val="a3"/>
    <w:uiPriority w:val="99"/>
    <w:locked/>
    <w:rsid w:val="0007705A"/>
    <w:rPr>
      <w:sz w:val="24"/>
      <w:szCs w:val="24"/>
      <w:lang w:val="en-US" w:eastAsia="ru-RU" w:bidi="ar-SA"/>
    </w:rPr>
  </w:style>
  <w:style w:type="paragraph" w:styleId="a5">
    <w:name w:val="footer"/>
    <w:basedOn w:val="a"/>
    <w:link w:val="a6"/>
    <w:rsid w:val="0007705A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ій колонтитул Знак"/>
    <w:link w:val="a5"/>
    <w:semiHidden/>
    <w:locked/>
    <w:rsid w:val="0007705A"/>
    <w:rPr>
      <w:sz w:val="24"/>
      <w:szCs w:val="24"/>
      <w:lang w:val="en-US" w:eastAsia="ru-RU" w:bidi="ar-SA"/>
    </w:rPr>
  </w:style>
  <w:style w:type="character" w:styleId="a7">
    <w:name w:val="page number"/>
    <w:rsid w:val="0007705A"/>
    <w:rPr>
      <w:rFonts w:cs="Times New Roman"/>
    </w:rPr>
  </w:style>
  <w:style w:type="paragraph" w:customStyle="1" w:styleId="rvps12">
    <w:name w:val="rvps12"/>
    <w:basedOn w:val="a"/>
    <w:rsid w:val="0007705A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3F0D0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3F0D0C"/>
    <w:rPr>
      <w:rFonts w:ascii="Tahoma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1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D3F2A"/>
    <w:pPr>
      <w:ind w:left="720"/>
      <w:contextualSpacing/>
    </w:pPr>
  </w:style>
  <w:style w:type="character" w:styleId="ac">
    <w:name w:val="annotation reference"/>
    <w:semiHidden/>
    <w:unhideWhenUsed/>
    <w:rsid w:val="00F0284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0284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F0284C"/>
    <w:rPr>
      <w:lang w:val="ru-RU" w:eastAsia="ru-RU"/>
    </w:rPr>
  </w:style>
  <w:style w:type="paragraph" w:styleId="af">
    <w:name w:val="annotation subject"/>
    <w:basedOn w:val="ad"/>
    <w:next w:val="ad"/>
    <w:link w:val="af0"/>
    <w:semiHidden/>
    <w:unhideWhenUsed/>
    <w:rsid w:val="00F0284C"/>
    <w:rPr>
      <w:b/>
      <w:bCs/>
    </w:rPr>
  </w:style>
  <w:style w:type="character" w:customStyle="1" w:styleId="af0">
    <w:name w:val="Тема примітки Знак"/>
    <w:link w:val="af"/>
    <w:semiHidden/>
    <w:rsid w:val="00F0284C"/>
    <w:rPr>
      <w:b/>
      <w:bCs/>
      <w:lang w:val="ru-RU" w:eastAsia="ru-RU"/>
    </w:rPr>
  </w:style>
  <w:style w:type="paragraph" w:styleId="af1">
    <w:name w:val="Normal (Web)"/>
    <w:basedOn w:val="a"/>
    <w:uiPriority w:val="99"/>
    <w:unhideWhenUsed/>
    <w:rsid w:val="00232246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styleId="af2">
    <w:name w:val="No Spacing"/>
    <w:uiPriority w:val="1"/>
    <w:qFormat/>
    <w:rsid w:val="00EC4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D57C-BAB3-4193-8B30-4ABD66E1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778</Words>
  <Characters>5145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ОАА</dc:creator>
  <cp:lastModifiedBy>Орлянський Олексій Андрійович</cp:lastModifiedBy>
  <cp:revision>6</cp:revision>
  <cp:lastPrinted>2020-12-17T08:49:00Z</cp:lastPrinted>
  <dcterms:created xsi:type="dcterms:W3CDTF">2021-05-17T14:43:00Z</dcterms:created>
  <dcterms:modified xsi:type="dcterms:W3CDTF">2021-05-19T09:33:00Z</dcterms:modified>
</cp:coreProperties>
</file>