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9F" w:rsidRPr="00CE0573" w:rsidRDefault="0032119F" w:rsidP="000749B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CE057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E60D35" w:rsidRDefault="00E60D35" w:rsidP="000749B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</w:p>
    <w:p w:rsidR="0032119F" w:rsidRPr="00CE0573" w:rsidRDefault="0032119F" w:rsidP="000749B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CE0573">
        <w:rPr>
          <w:rFonts w:ascii="Times New Roman" w:hAnsi="Times New Roman" w:cs="Times New Roman"/>
          <w:sz w:val="28"/>
          <w:szCs w:val="28"/>
        </w:rPr>
        <w:t>Наказ Державної податкової</w:t>
      </w:r>
    </w:p>
    <w:p w:rsidR="0032119F" w:rsidRPr="00CE0573" w:rsidRDefault="0032119F" w:rsidP="000749B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CE0573">
        <w:rPr>
          <w:rFonts w:ascii="Times New Roman" w:hAnsi="Times New Roman" w:cs="Times New Roman"/>
          <w:sz w:val="28"/>
          <w:szCs w:val="28"/>
        </w:rPr>
        <w:t xml:space="preserve">служби України </w:t>
      </w:r>
    </w:p>
    <w:p w:rsidR="00E60D35" w:rsidRDefault="00E60D35" w:rsidP="000749B0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</w:p>
    <w:p w:rsidR="00E06B29" w:rsidRPr="00CE0573" w:rsidRDefault="001A1902" w:rsidP="000749B0">
      <w:pPr>
        <w:spacing w:line="240" w:lineRule="auto"/>
        <w:ind w:left="1077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1902">
        <w:rPr>
          <w:rFonts w:ascii="Times New Roman" w:hAnsi="Times New Roman" w:cs="Times New Roman"/>
          <w:sz w:val="28"/>
          <w:szCs w:val="28"/>
        </w:rPr>
        <w:t>30.07.</w:t>
      </w:r>
      <w:r>
        <w:rPr>
          <w:rFonts w:ascii="Times New Roman" w:hAnsi="Times New Roman" w:cs="Times New Roman"/>
          <w:sz w:val="28"/>
          <w:szCs w:val="28"/>
          <w:lang w:val="en-US"/>
        </w:rPr>
        <w:t>2020</w:t>
      </w:r>
      <w:r w:rsidR="0032119F" w:rsidRPr="00CE057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376</w:t>
      </w:r>
    </w:p>
    <w:p w:rsidR="0032119F" w:rsidRPr="00CE0573" w:rsidRDefault="0032119F" w:rsidP="00DF3C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4D9" w:rsidRPr="00CE0573" w:rsidRDefault="000564D9" w:rsidP="00DF3C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0573">
        <w:rPr>
          <w:rFonts w:ascii="Times New Roman" w:hAnsi="Times New Roman" w:cs="Times New Roman"/>
          <w:b/>
          <w:sz w:val="28"/>
          <w:szCs w:val="28"/>
        </w:rPr>
        <w:t>П</w:t>
      </w:r>
      <w:r w:rsidRPr="00CE0573">
        <w:rPr>
          <w:rFonts w:ascii="Times New Roman" w:eastAsia="Calibri" w:hAnsi="Times New Roman" w:cs="Times New Roman"/>
          <w:b/>
          <w:sz w:val="28"/>
          <w:szCs w:val="28"/>
        </w:rPr>
        <w:t>лан заходів з реалізації стратегічних цілей</w:t>
      </w:r>
      <w:r w:rsidRPr="00CE0573">
        <w:rPr>
          <w:rFonts w:ascii="Times New Roman" w:hAnsi="Times New Roman" w:cs="Times New Roman"/>
          <w:b/>
          <w:sz w:val="28"/>
          <w:szCs w:val="28"/>
        </w:rPr>
        <w:t xml:space="preserve"> діяльності ДПС до 2022 року</w:t>
      </w:r>
    </w:p>
    <w:bookmarkEnd w:id="0"/>
    <w:p w:rsidR="00FA54AC" w:rsidRPr="00CE0573" w:rsidRDefault="00FA54AC" w:rsidP="00DF3C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035"/>
        <w:gridCol w:w="1984"/>
        <w:gridCol w:w="4912"/>
        <w:gridCol w:w="2268"/>
        <w:gridCol w:w="2127"/>
        <w:gridCol w:w="2409"/>
      </w:tblGrid>
      <w:tr w:rsidR="00FF07E6" w:rsidRPr="00CE0573" w:rsidTr="00CE0573">
        <w:trPr>
          <w:tblHeader/>
          <w:jc w:val="center"/>
        </w:trPr>
        <w:tc>
          <w:tcPr>
            <w:tcW w:w="2035" w:type="dxa"/>
            <w:shd w:val="clear" w:color="auto" w:fill="B6DDE8" w:themeFill="accent5" w:themeFillTint="66"/>
            <w:vAlign w:val="center"/>
          </w:tcPr>
          <w:p w:rsidR="00FF07E6" w:rsidRPr="00CE0573" w:rsidRDefault="00FF07E6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73">
              <w:rPr>
                <w:rFonts w:ascii="Times New Roman" w:hAnsi="Times New Roman" w:cs="Times New Roman"/>
                <w:b/>
                <w:sz w:val="20"/>
                <w:szCs w:val="20"/>
              </w:rPr>
              <w:t>Стратегічна ціль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FF07E6" w:rsidRPr="00CE0573" w:rsidRDefault="00FF07E6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73">
              <w:rPr>
                <w:rFonts w:ascii="Times New Roman" w:hAnsi="Times New Roman" w:cs="Times New Roman"/>
                <w:b/>
                <w:sz w:val="20"/>
                <w:szCs w:val="20"/>
              </w:rPr>
              <w:t>Стратегічна ініціатива</w:t>
            </w:r>
          </w:p>
        </w:tc>
        <w:tc>
          <w:tcPr>
            <w:tcW w:w="4912" w:type="dxa"/>
            <w:shd w:val="clear" w:color="auto" w:fill="B6DDE8" w:themeFill="accent5" w:themeFillTint="66"/>
            <w:vAlign w:val="center"/>
          </w:tcPr>
          <w:p w:rsidR="00FF07E6" w:rsidRPr="00CE0573" w:rsidRDefault="00FF07E6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73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заходу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FF07E6" w:rsidRPr="00CE0573" w:rsidRDefault="00FF07E6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73">
              <w:rPr>
                <w:rFonts w:ascii="Times New Roman" w:hAnsi="Times New Roman" w:cs="Times New Roman"/>
                <w:b/>
                <w:sz w:val="20"/>
                <w:szCs w:val="20"/>
              </w:rPr>
              <w:t>Індикатор виконання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:rsidR="00FF07E6" w:rsidRPr="00CE0573" w:rsidRDefault="00FF07E6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73">
              <w:rPr>
                <w:rFonts w:ascii="Times New Roman" w:hAnsi="Times New Roman" w:cs="Times New Roman"/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FF07E6" w:rsidRPr="00CE0573" w:rsidRDefault="00FF07E6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573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Відповідальні виконавці</w:t>
            </w:r>
          </w:p>
        </w:tc>
      </w:tr>
      <w:tr w:rsidR="00FF07E6" w:rsidRPr="00CE0573" w:rsidTr="00CE0573">
        <w:trPr>
          <w:jc w:val="center"/>
        </w:trPr>
        <w:tc>
          <w:tcPr>
            <w:tcW w:w="2035" w:type="dxa"/>
          </w:tcPr>
          <w:p w:rsidR="00FF07E6" w:rsidRPr="00EA5238" w:rsidRDefault="00FF07E6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F07E6" w:rsidRPr="00EA5238" w:rsidRDefault="00FF07E6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12" w:type="dxa"/>
          </w:tcPr>
          <w:p w:rsidR="00FF07E6" w:rsidRPr="00EA5238" w:rsidRDefault="00FF07E6" w:rsidP="004841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F07E6" w:rsidRPr="00EA5238" w:rsidRDefault="00FF07E6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F07E6" w:rsidRPr="00EA5238" w:rsidRDefault="00FF07E6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FF07E6" w:rsidRPr="00EA5238" w:rsidRDefault="00AA3CA0" w:rsidP="002B4EA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EA5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Створення єдиної юридичної особи та ефективне управління діяльністю</w:t>
            </w:r>
          </w:p>
        </w:tc>
        <w:tc>
          <w:tcPr>
            <w:tcW w:w="1984" w:type="dxa"/>
          </w:tcPr>
          <w:p w:rsidR="004841C3" w:rsidRPr="00EA5238" w:rsidRDefault="004841C3" w:rsidP="00DD72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1.1.Запровадження ефективної організаційної структури в рамках єдиної юридичної особи</w:t>
            </w:r>
          </w:p>
        </w:tc>
        <w:tc>
          <w:tcPr>
            <w:tcW w:w="4912" w:type="dxa"/>
          </w:tcPr>
          <w:p w:rsidR="004841C3" w:rsidRPr="00EA5238" w:rsidRDefault="00184891" w:rsidP="0018489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несення змін до Положення про Державну податкову службу України, затвердженого постановою Кабінету Міністрів України </w:t>
            </w: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від 06 березня 2019 року № 227, з урахуванням змін до законодавства, внесених Законом України від 16 січня 2020 року № 466-IX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рийнято постанову Кабінету Міністрів України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pStyle w:val="ab"/>
              <w:jc w:val="center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ипень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  <w:r w:rsidR="00BD4476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атвердження положень про територіальні органи ДПС з урахуванням змін, внесених до Положення про Державну податкову службу України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ипень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озробка порядку щодо делегування повноважень керівникам територіальних органів ДПС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ипень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  <w:r w:rsidR="00BD4476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BD4476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іквідація управлінь, утворених на правах відокремлених підрозділів головних управлінь ДПС в областях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ипень – серпень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атвердження переліку ДПІ як структурних підрозділів головних управлінь ДПС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ипень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ведення в дію структур територіальних органів ДПС, затверджених Головою ДПС та погоджених Міністром фінансів України 12.06.2020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ипень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атвердження організаційних структур та штатних розписів територіальних органів ДПС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атверджено організаційні структури та штатні розписи територіальних органів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ерпень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бухгалтерського обліку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изначення механізму призначення/переведення та звільнення працівників територіальних органів ДПС в умовах єдиної юридичної особи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ерпень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іквідація територіальних органів ДПС як юридичних осіб публічного права відповідно до 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постанови Кабінету Міністрів України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рийнято постанову Кабінету Міністрів України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ересень – жовтень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несення змін до Положення про Державну податкову службу України, затвердженого постановою Кабінету Міністрів України від 06 березня 2019 року № 227 у частині 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впровадження єдиної юридичної особи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рийнято постанову Кабінету Міністрів України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ересень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творення територіальних органів ДПС як відокремлених підрозділів ДПС за погодженням з Міністром фінансів України, призначення їх керівників та затвердження положень про такі відокремлені підрозділи ДПС,</w:t>
            </w:r>
            <w:r w:rsidR="004841C3" w:rsidRPr="00EA52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встановлення граничної чисельності та затвердження кошторису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ересень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дійснення Державної реєстрації </w:t>
            </w:r>
            <w:r w:rsidR="005D4E24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територіальних органів ДПС як 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відокремлених підрозділів ДПС 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4841C3" w:rsidRPr="00EA5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итяг з Єдиного державного реєстру юридичних осіб та фізичних осіб - підприємців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ересень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ad"/>
              <w:jc w:val="both"/>
              <w:rPr>
                <w:sz w:val="20"/>
              </w:rPr>
            </w:pPr>
            <w:r w:rsidRPr="00EA5238">
              <w:rPr>
                <w:b w:val="0"/>
                <w:i w:val="0"/>
                <w:sz w:val="20"/>
              </w:rPr>
              <w:t>З</w:t>
            </w:r>
            <w:r w:rsidR="004841C3" w:rsidRPr="00EA5238">
              <w:rPr>
                <w:b w:val="0"/>
                <w:i w:val="0"/>
                <w:sz w:val="20"/>
              </w:rPr>
              <w:t xml:space="preserve">абезпечення фінансування заходів, пов’язаних з реорганізацією ДПС України (виготовлення бланків, печаток, штампів, службових посвідчень, здійснення </w:t>
            </w:r>
            <w:r w:rsidR="004841C3" w:rsidRPr="00EA5238">
              <w:rPr>
                <w:b w:val="0"/>
                <w:i w:val="0"/>
                <w:sz w:val="20"/>
              </w:rPr>
              <w:lastRenderedPageBreak/>
              <w:t>необхідних платежів тощо)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ересень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бухгалтерського обліку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озробка та приведення організаційно-розпорядчих документів ДПС щодо впровадження нової структури центрального апарату ДПС у відповідність до змін у законодавстві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идання організаційно-розпорядчих документів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ересень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несення змін до постанови Кабінету Міністрів України від 05 квітня 2014 року № 85 «Деякі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органів»</w:t>
            </w:r>
          </w:p>
        </w:tc>
        <w:tc>
          <w:tcPr>
            <w:tcW w:w="2268" w:type="dxa"/>
            <w:shd w:val="clear" w:color="auto" w:fill="auto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рийнято постанову Кабінету Міністрів України</w:t>
            </w:r>
          </w:p>
        </w:tc>
        <w:tc>
          <w:tcPr>
            <w:tcW w:w="2127" w:type="dxa"/>
            <w:shd w:val="clear" w:color="auto" w:fill="auto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ересень 2020 року</w:t>
            </w:r>
          </w:p>
        </w:tc>
        <w:tc>
          <w:tcPr>
            <w:tcW w:w="2409" w:type="dxa"/>
            <w:shd w:val="clear" w:color="auto" w:fill="auto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  <w:shd w:val="clear" w:color="auto" w:fill="auto"/>
          </w:tcPr>
          <w:p w:rsidR="004841C3" w:rsidRPr="00EA5238" w:rsidRDefault="00184891" w:rsidP="00AD058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ідготовка пропозицій до проєкту постанови Кабінету Міністрів України щодо питань оплати праці державних службовців податкових органів</w:t>
            </w:r>
            <w:r w:rsidR="009134A9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D0580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 визначенням посадових окладів незалежно від наявності у територіальних органів ДПС статусу юридичної особи</w:t>
            </w:r>
          </w:p>
        </w:tc>
        <w:tc>
          <w:tcPr>
            <w:tcW w:w="2268" w:type="dxa"/>
            <w:shd w:val="clear" w:color="auto" w:fill="auto"/>
          </w:tcPr>
          <w:p w:rsidR="004841C3" w:rsidRPr="00EA5238" w:rsidRDefault="009134A9" w:rsidP="00913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Направлено пропозиції до проєкту</w:t>
            </w:r>
            <w:r w:rsidR="0006522D"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постанов</w:t>
            </w:r>
            <w:r w:rsidR="0006522D" w:rsidRPr="00EA52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Кабінету Міністрів України</w:t>
            </w:r>
            <w:r w:rsidR="0006522D"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4841C3" w:rsidRPr="00EA5238" w:rsidRDefault="006B403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ипень 2020 року</w:t>
            </w:r>
          </w:p>
        </w:tc>
        <w:tc>
          <w:tcPr>
            <w:tcW w:w="2409" w:type="dxa"/>
            <w:shd w:val="clear" w:color="auto" w:fill="auto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бухгалтерського обліку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ідготовка пропозиції до проєкту постанови Кабінету Міністрів України щодо затвердження Положення про спеціальні звання посадових осіб органів Державної податкової служби України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рийнято постанову Кабінету Міністрів України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ипень - вересень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несення змін до постанови Кабінету Міністрів України від 12 березня 2005 року № 179 «Про упорядкування структури апарату центральних органів виконавчої влади, їх територіальних підрозділів та місцевих державних адміністрацій»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рийнято постанову Кабінету Міністрів України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 потреби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ідготовка пропозицій щодо функціональних повноважень структурних підрозділів ДПС та територіальних органів ДПС як відокремлених підрозділів ДПС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овтень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життя комплексу заходів, пов’язаних з ліквідацією територіальних органів ДПС, передбачених  </w:t>
            </w:r>
            <w:r w:rsidR="004841C3" w:rsidRPr="00EA5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Порядком здійснення заходів, пов’язаних з утворенням, реорганізацією або ліквідацією міністерств, інших центральних органів виконавчої влади, затвердженим постановою Кабінету Міністрів України </w:t>
            </w:r>
            <w:r w:rsidR="004841C3" w:rsidRPr="00EA52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від 20 жовтня 2011 року № 1074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  <w:p w:rsidR="004841C3" w:rsidRPr="00EA5238" w:rsidRDefault="004841C3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="004841C3" w:rsidRPr="00EA5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итяг з Єдиного державного реєстру юридичних осіб та фізичних осіб - підприємців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ересень 2020 року</w:t>
            </w:r>
          </w:p>
          <w:p w:rsidR="004841C3" w:rsidRPr="00EA5238" w:rsidRDefault="004841C3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строки, визначені законодавчими актами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Організаційно-розпорядчий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Голови ліквідаційних комісій територіальних органів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 Реалізація механізму делегування окремих повноважень керівникам територіальних органів в рамках діяльності єдиної юридичної особи</w:t>
            </w: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несення змін до нормативно-правових актів, необхідних для забезпечення функціонування ДПС в рамках єдиної юридичної особи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рийнято відповідні нормативно-правові акти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ипень – листопад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озробка проєктів нормативно-правових актів, необхідних для забезпечення належного делегування повноважень керівникам територіальних органів ДПС у тому числі:</w:t>
            </w:r>
          </w:p>
          <w:p w:rsidR="004841C3" w:rsidRPr="00EA5238" w:rsidRDefault="004841C3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внесення змін до Порядку делегування окремих повноважень керівника державної служби в центральному органі виконавчої влади, затвердженого постановою Кабінету Міністрів України від 11 грудня 2019 року № 1041 (у частині делегування керівникам територіальних органів прав щодо призначення, переведення, звільнення працівників підпорядкованого органу);</w:t>
            </w:r>
          </w:p>
          <w:p w:rsidR="004841C3" w:rsidRPr="00EA5238" w:rsidRDefault="004841C3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захисту інформації; </w:t>
            </w:r>
          </w:p>
          <w:p w:rsidR="004841C3" w:rsidRPr="00EA5238" w:rsidRDefault="004841C3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матеріально-технічного забезпечення тощо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рийнято відповідні нормативно-правові акти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pStyle w:val="ab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A5238">
              <w:rPr>
                <w:rFonts w:ascii="Times New Roman" w:hAnsi="Times New Roman"/>
                <w:i w:val="0"/>
                <w:sz w:val="20"/>
                <w:szCs w:val="20"/>
              </w:rPr>
              <w:t>Л</w:t>
            </w:r>
            <w:r w:rsidR="004841C3" w:rsidRPr="00EA5238">
              <w:rPr>
                <w:rFonts w:ascii="Times New Roman" w:hAnsi="Times New Roman"/>
                <w:i w:val="0"/>
                <w:sz w:val="20"/>
                <w:szCs w:val="20"/>
              </w:rPr>
              <w:t>ипень – серпень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кадрового забезпечення  та розвитку персоналу</w:t>
            </w:r>
            <w:r w:rsidR="00E955D8" w:rsidRPr="00EA5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184891" w:rsidP="00B656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ризначення Уповноважених осіб (відповідним наказом Голови ДПС) у кожному регіоні та надання доступу до використання майданчика ДПС «</w:t>
            </w:r>
            <w:proofErr w:type="spellStart"/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Держзакупівлі.онлайн</w:t>
            </w:r>
            <w:proofErr w:type="spellEnd"/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 з метою проведення </w:t>
            </w:r>
            <w:proofErr w:type="spellStart"/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закупівель</w:t>
            </w:r>
            <w:proofErr w:type="spellEnd"/>
            <w:r w:rsidR="004841C3" w:rsidRPr="00EA52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товарів, робіт та послуг</w:t>
            </w:r>
          </w:p>
        </w:tc>
        <w:tc>
          <w:tcPr>
            <w:tcW w:w="2268" w:type="dxa"/>
          </w:tcPr>
          <w:p w:rsidR="004841C3" w:rsidRPr="00EA5238" w:rsidRDefault="00212CE6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аказ ДПС</w:t>
            </w:r>
          </w:p>
        </w:tc>
        <w:tc>
          <w:tcPr>
            <w:tcW w:w="2127" w:type="dxa"/>
          </w:tcPr>
          <w:p w:rsidR="004841C3" w:rsidRPr="00EA5238" w:rsidRDefault="00E93F70" w:rsidP="00B65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ересень 2020 року</w:t>
            </w:r>
          </w:p>
        </w:tc>
        <w:tc>
          <w:tcPr>
            <w:tcW w:w="2409" w:type="dxa"/>
          </w:tcPr>
          <w:p w:rsidR="004841C3" w:rsidRPr="00EA5238" w:rsidRDefault="004841C3" w:rsidP="00B65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бухгалтерського обліку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1.3. Розроблення моделі електронного документообігу в умовах єдиної </w:t>
            </w:r>
            <w:r w:rsidRPr="00EA52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юридичної особи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Проведення аналізу реєстраційних груп кореспондентів (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картотек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) в ІТС "Управління документами" територіальних органів ДПС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Аналіз проведено, звіт за результатами підготовлено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ІІІ квартал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Затвердження єдиного переліку реєстраційних груп кореспондентів (картотеки) структурних підрозділів та територіальних органів ДПС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Видано відповідний наказ ДПС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картотек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 в ІТС "Управління документами" відповідно до затвердженого переліку реєстраційних груп кореспондентів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Відповідні картотеки створено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01 січня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 Вдосконалення та автоматизація робочих процесів та процедур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Забезпечення автоматизації процедур  діяльності ДПС на підставі заявок структурних підрозділів ДПС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технічне завдання;</w:t>
            </w:r>
          </w:p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впроваджено програмне забезпечення для автоматизації процедур діяльності ДПС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Перегляд та адаптація бізнес-процесів у податковій сфері в межах виконання Програми ЄС з підтримки управління державними фінансами в Україні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звіт про результати проведеного аналізу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2020 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Оптимізація основних робочих процесів ДПС, зокрема управління справами, податкового аудиту, подачі податкової звітності, сплати податків, стягнення податкової заборгованості, з метою забезпечення ефективного та якісного здійснення процесів в ДПС, роботи персоналу та відповідної оплати праці</w:t>
            </w:r>
          </w:p>
        </w:tc>
        <w:tc>
          <w:tcPr>
            <w:tcW w:w="2268" w:type="dxa"/>
          </w:tcPr>
          <w:p w:rsidR="0022286A" w:rsidRPr="00EA5238" w:rsidRDefault="004841C3" w:rsidP="002228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Прийнято відповідні </w:t>
            </w:r>
            <w:r w:rsidR="0022286A"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організаційно-розпорядчі документи ДПС </w:t>
            </w:r>
          </w:p>
          <w:p w:rsidR="004841C3" w:rsidRPr="00EA5238" w:rsidRDefault="0022286A" w:rsidP="002228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(у разі необхідності)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pStyle w:val="a5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</w:rPr>
            </w:pPr>
            <w:bookmarkStart w:id="1" w:name="_Hlk10154465"/>
            <w:r w:rsidRPr="00EA5238">
              <w:rPr>
                <w:rFonts w:ascii="Times New Roman" w:hAnsi="Times New Roman"/>
                <w:sz w:val="20"/>
              </w:rPr>
              <w:t>2020 – 2021 роки</w:t>
            </w:r>
          </w:p>
          <w:bookmarkEnd w:id="1"/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1.5. Розвиток ефективної, сучасної, стабільної та захищеної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br/>
              <w:t>ІТ-інфраструктури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Впровадження процесу ІТ-централізації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відповідні нормативно-правові акти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бухгалтерського обліку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Затвердження архітектури інформаційно-телекомунікаційної системи, ІТ-стандартів, сервісного каталогу тощо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відповідні накази Мінфіну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державної експертизи у сфері технічного захисту інформації в інформаційно-телекомунікаційних системах «Управління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документами», «Податковий блок»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Отримано експертні висновки та атестати відповідності КСЗІ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охорони державної таємниці, технічного та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криптографічного захисту інформації,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інфраструктури та бухгалтерського обліку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Створення Центру реагування на події ІБ (SOC) в Державній податковій службі України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Створено Центр реагування на події ІБ (SOC)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охорони державної таємниці, технічного та криптографічного захисту інформації,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інфраструктури та бухгалтерського обліку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2. Ефективне адміністрування податків, зборів, платежів</w:t>
            </w:r>
          </w:p>
        </w:tc>
        <w:tc>
          <w:tcPr>
            <w:tcW w:w="1984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Запровадження системи сплати  податків та зборів, єдиного внеску на єдиний рахунок</w:t>
            </w:r>
          </w:p>
        </w:tc>
        <w:tc>
          <w:tcPr>
            <w:tcW w:w="4912" w:type="dxa"/>
          </w:tcPr>
          <w:p w:rsidR="004841C3" w:rsidRPr="00EA5238" w:rsidRDefault="00755CD4" w:rsidP="00755CD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та впровадження програмного забезпечення ІТС “Податковий блок” та ІТС “Електронний кабінет” щодо функціонування системи сплати податків та зборів, єдиного внеску на загальнообов’язкове державне соціальне страхування на єдиний рахунок</w:t>
            </w:r>
          </w:p>
        </w:tc>
        <w:tc>
          <w:tcPr>
            <w:tcW w:w="2268" w:type="dxa"/>
          </w:tcPr>
          <w:p w:rsidR="004841C3" w:rsidRPr="00EA5238" w:rsidRDefault="00755CD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Впроваджено програмне забезпечення щодо функціонування системи сплати  податків та зборів, єдиного внеску на загальнообов’язкове державне соціальне страхування на єдиний рахунок</w:t>
            </w:r>
          </w:p>
        </w:tc>
        <w:tc>
          <w:tcPr>
            <w:tcW w:w="2127" w:type="dxa"/>
          </w:tcPr>
          <w:p w:rsidR="004841C3" w:rsidRPr="00EA5238" w:rsidRDefault="00755CD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31 грудня 2020 року</w:t>
            </w:r>
          </w:p>
        </w:tc>
        <w:tc>
          <w:tcPr>
            <w:tcW w:w="2409" w:type="dxa"/>
          </w:tcPr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 роботі з податковим боргом,</w:t>
            </w: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роботи,</w:t>
            </w: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адміністративного оскарження,</w:t>
            </w: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контролю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підакцизними товарами,</w:t>
            </w:r>
          </w:p>
          <w:p w:rsidR="00755CD4" w:rsidRPr="00EA5238" w:rsidRDefault="00755CD4" w:rsidP="0075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755CD4" w:rsidP="00755C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аудиту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 Запровадження єдиної звітності з єдиного внеску та податку на доходи фізичних осіб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Запровадження єдиної звітності з єдиного внеску та податку на доходи фізичних осіб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Запроваджено єдину уніфіковану форму податкової звітності з податку на доходи фізичних осіб та єдиного соціального внеску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31 грудня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2.3. Вдосконалення підходів та процедур податкових перевірок</w:t>
            </w: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1. Поступове запровадження електронної документальної перевірки (електронного аудиту) спочатку великих платників податків, а надалі всіх платників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та супроводження проєктів законів України щодо внесення змін до законодавства в частині впровадження електронних перевірок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br/>
              <w:t>(e-аудит)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Проєкт Закону України подано на розгляд Верховної Ради України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підзаконних нормативно-правових актів, які регламентують впровадження та функціонування електронних перевірок (e-аудит)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відповідні нормативно-правові акти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 строки, визначені законодавчими актами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Управління охорони державної таємниці, технічного та криптографічного захисту інформації,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Придбання (розроблення) та впровадження програмного забезпечення щодо автоматизації процесу проведення податкових перевірок (e-аудит)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Впроваджено програмне забезпечення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 строки, визначені законодавчими актами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 xml:space="preserve">Департамент </w:t>
            </w:r>
            <w:r w:rsidRPr="00EA5238">
              <w:rPr>
                <w:lang w:val="uk-UA"/>
              </w:rPr>
              <w:lastRenderedPageBreak/>
              <w:t>податкового аудиту,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інфраструктури та бухгалтерського обліку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Проведення експерименту стосовно надання великими платниками податків, які надали згоду на участь в експерименті, даних бухгалтерського обліку в електронному вигляді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інформаційно-аналітичні матеріали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 тримісячний строк після придбання та впровадження програмного забезпечення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Офіс великих платників податків ДПС,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4247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2. Створення системи перевірки </w:t>
            </w:r>
            <w:r w:rsidR="004247D6" w:rsidRPr="00EA5238">
              <w:rPr>
                <w:rFonts w:ascii="Times New Roman" w:hAnsi="Times New Roman" w:cs="Times New Roman"/>
                <w:sz w:val="20"/>
                <w:szCs w:val="20"/>
              </w:rPr>
              <w:t>наявності в базі даних ДПС та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достовірності розрахункових документів, організації і проведення перевірок щодо документів, інформація про які відсутня у СОД РРО, та контролю за компенсацією частини сум штрафних (фінансових) санкцій, визначених за даними СОД РРО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Створення в Електронному кабінеті сервісу подачі заяви покупцями (споживачами) щодо відсутності інформації у СОД РРО про розрахунковий документ (чек РРО), виданий/створений при проведенні розрахункової операції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 Електронному кабінеті створено сервіс подачі заяви покупцями (споживачами) щодо відсутності інформації у СОД РРО про розрахунковий документ (чек РРО), виданий/створений при проведенні розрахункової операції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01 січня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Організація процедур проведення перевірок (камеральних та фактичних) за заявами покупців (споживачів)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методологічні документи щодо проведення перевірок (камеральних та фактичних) за заявами покупців (споживачів)</w:t>
            </w:r>
          </w:p>
          <w:p w:rsidR="00A576D8" w:rsidRPr="00EA5238" w:rsidRDefault="00A576D8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01 січня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Організація процедур контролю за сплатою сум штрафних (фінансових) санкцій, підготовки та подання висновку до відповідного органу, що здійснює казначейське обслуговування бюджетних коштів, щодо компенсації   частини сум штрафних (фінансових) санкцій скаржнику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Система перевірки справжності та достовірності розрахункових документів, організації і проведення перевірок щодо документів, інформація про які відсутня у СОД РРО, та контролю за компенсацією частини сум штрафних (фінансових) санкцій, визначених за даними СОД РРО,  працює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01 січня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777C54" w:rsidRPr="00EA5238" w:rsidRDefault="00777C54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777C54" w:rsidRPr="00EA5238" w:rsidRDefault="00777C54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777C54" w:rsidRPr="00EA5238" w:rsidRDefault="00777C54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податкового адміністрування,</w:t>
            </w:r>
          </w:p>
          <w:p w:rsidR="00777C54" w:rsidRPr="00EA5238" w:rsidRDefault="00777C54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1B02CF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3. Створення системи контролю за  обігом товарів, включаючи розширене використання реєстраторів розрахункових операцій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та погодження проєктів нормативно-правових актів щодо внесення змін до чинного законодавства з метою запровадження єдиного підходу до кодування товарів (відповідно до УКТ ЗЕД), використання цих кодів при реєстрації продажу товарів через РРО та передачі відповідної інформації до ДПС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Проєкти нормативно-правових актів підготовлено та погоджено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01 січня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Запровадження інструментів щодо автоматизації обробки інформації, яка накопичується в базах даних СОД РРО, спрощення відбору та аналізу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почекової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інформації (у розрізі окремих товарів, видів товарів, процентних ставок податків (зборів), періодів роботи РРО), що надходить від РРО до ДПС, автоматизації виявлення СГ, у яких можливі порушення норм законодавства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Запроваджено програмне забезпечення автоматизації обробки інформації, яка накопичується в базах даних СОД РРО, спрощення відбору та аналізу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почекової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інформації (у розрізі окремих товарів, видів товарів, процентних ставок податків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(зборів), періодів роботи РРО)</w:t>
            </w:r>
          </w:p>
        </w:tc>
        <w:tc>
          <w:tcPr>
            <w:tcW w:w="2127" w:type="dxa"/>
          </w:tcPr>
          <w:p w:rsidR="004841C3" w:rsidRPr="00EA5238" w:rsidRDefault="004841C3" w:rsidP="00B35C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 </w:t>
            </w:r>
            <w:r w:rsidR="00B35C21" w:rsidRPr="00EA5238">
              <w:rPr>
                <w:rFonts w:ascii="Times New Roman" w:hAnsi="Times New Roman" w:cs="Times New Roman"/>
                <w:sz w:val="20"/>
                <w:szCs w:val="20"/>
              </w:rPr>
              <w:t>квіт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ня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правової роботи,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податкового адміністрування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Розробка та введення в експлуатацію програмного забезпечення для здійснення розширеного аналізу звітних даних, що надходять від РРО до ДПС</w:t>
            </w:r>
          </w:p>
        </w:tc>
        <w:tc>
          <w:tcPr>
            <w:tcW w:w="2268" w:type="dxa"/>
          </w:tcPr>
          <w:p w:rsidR="004841C3" w:rsidRPr="00EA5238" w:rsidRDefault="004841C3" w:rsidP="00DD72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Система контролю за  обігом товарів, включаючи розширене використання реєстраторів розрахункових операцій створено</w:t>
            </w:r>
          </w:p>
        </w:tc>
        <w:tc>
          <w:tcPr>
            <w:tcW w:w="2127" w:type="dxa"/>
          </w:tcPr>
          <w:p w:rsidR="004841C3" w:rsidRPr="00EA5238" w:rsidRDefault="004841C3" w:rsidP="00D620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 w:rsidR="00D620BD" w:rsidRPr="00EA5238">
              <w:rPr>
                <w:rFonts w:ascii="Times New Roman" w:hAnsi="Times New Roman" w:cs="Times New Roman"/>
                <w:sz w:val="20"/>
                <w:szCs w:val="20"/>
              </w:rPr>
              <w:t>квіт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ня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4. Посилення інституційної та функціональної спроможності відділів фактичних перевірок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пропозицій/проєктів нормативно-правових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суб’єктів господарювання, які звітують про відсутність виторгів та/або про виторги, які значно менші ніж у суб’єктів господарювання з аналогічними умовами тощо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Проєкти нормативно-правових актів підготовлено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01 січня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правової роботи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Затвердження/прийняття нормативно-правових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суб’єктів господарювання, які звітують про відсутність виторгів та/або про виторги, які значно менші ніж у СГ з аналогічними умовами тощо, в установленому порядку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Нормативно-правові акти прийнято/затверджено</w:t>
            </w:r>
          </w:p>
        </w:tc>
        <w:tc>
          <w:tcPr>
            <w:tcW w:w="2127" w:type="dxa"/>
          </w:tcPr>
          <w:p w:rsidR="004841C3" w:rsidRPr="00EA5238" w:rsidRDefault="004841C3" w:rsidP="00DD72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30 червня 2021 року (або протягом 3 місяців після прийняття відповідних законодавчих змін)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color w:val="FF0000"/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правової роботи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Розробка порядку проведення перевірок з використанням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верифікаторів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РРО та із застосуванням відеоспостереження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проведення перевірок із використанням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верифікаторів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РРО та із застосуванням відеоспостереження затверджено</w:t>
            </w:r>
          </w:p>
        </w:tc>
        <w:tc>
          <w:tcPr>
            <w:tcW w:w="2127" w:type="dxa"/>
          </w:tcPr>
          <w:p w:rsidR="004841C3" w:rsidRPr="00EA5238" w:rsidRDefault="004841C3" w:rsidP="00DD72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30 вересня 2021 року (або протягом 3 місяців після прийняття відповідних законодавчих змін)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 w:firstLine="34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 w:firstLine="34"/>
              <w:contextualSpacing/>
              <w:rPr>
                <w:color w:val="FF0000"/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 w:firstLine="34"/>
              <w:contextualSpacing/>
              <w:rPr>
                <w:color w:val="FF0000"/>
                <w:lang w:val="uk-UA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бухгалтерського обліку</w:t>
            </w:r>
          </w:p>
          <w:p w:rsidR="00A576D8" w:rsidRPr="00EA5238" w:rsidRDefault="00A576D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5A70BD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Перерозподіл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чисельності регіональних підрозділів фактичних перевірок, контролю за готівковими операціями</w:t>
            </w:r>
          </w:p>
        </w:tc>
        <w:tc>
          <w:tcPr>
            <w:tcW w:w="2268" w:type="dxa"/>
          </w:tcPr>
          <w:p w:rsidR="004841C3" w:rsidRPr="00EA5238" w:rsidRDefault="004841C3" w:rsidP="005A70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Чисельність підрозділів фактичних перевірок, контролю за готівковими операціями територіальних органів Д</w:t>
            </w:r>
            <w:r w:rsidR="00FB31B2" w:rsidRPr="00EA5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5A70BD" w:rsidRPr="00EA5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перерозподілено</w:t>
            </w:r>
          </w:p>
          <w:p w:rsidR="00063323" w:rsidRPr="00EA5238" w:rsidRDefault="00063323" w:rsidP="005A70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30 вересня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8129F8" w:rsidRPr="00EA5238" w:rsidRDefault="008129F8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0F88" w:rsidRPr="00EA5238" w:rsidRDefault="008E0F88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Організаційно-розпорядчий департамент, </w:t>
            </w:r>
          </w:p>
          <w:p w:rsidR="008E0F88" w:rsidRPr="00EA5238" w:rsidRDefault="008E0F88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8129F8" w:rsidP="009A1A04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кадрового забезпечення та розвитку персоналу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5. Поступове запровадження автоматизації процесу проведення камеральних перевірок податкових декларацій (розрахунків) платника податків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Розробка проєкту Порядку проведення камеральних перевірок податкових декларацій (розрахунків) платника податків)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Затверджено Порядок проведення камеральних перевірок податкових декларацій (розрахунків) платника податків</w:t>
            </w:r>
          </w:p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ІІ півріччя 2020 року</w:t>
            </w:r>
          </w:p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kinsoku w:val="0"/>
              <w:overflowPunct w:val="0"/>
              <w:contextualSpacing/>
              <w:textAlignment w:val="baseline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Розробка загальної концепції з автоматизації процесу проведення камеральних перевірок податкових декларацій (розрахунків) платника податків, напрямків моніторингу повноти та перевірки результативності їх проведення   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Узгоджено та підписано  загальної концепції (Заявки)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І півріччя 2021 року</w:t>
            </w:r>
          </w:p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Придбання (розроблення) та впровадження програмного забезпечення щодо автоматизації процесу проведення камеральних перевірок  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Впроваджено програмне забезпечення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Після узгодження Концепції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  <w:r w:rsidRPr="00EA5238">
              <w:rPr>
                <w:lang w:val="uk-UA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4841C3" w:rsidRPr="00EA5238" w:rsidRDefault="004841C3" w:rsidP="002B4EA0">
            <w:pPr>
              <w:pStyle w:val="2"/>
              <w:spacing w:after="0" w:line="240" w:lineRule="auto"/>
              <w:ind w:left="0"/>
              <w:contextualSpacing/>
              <w:rPr>
                <w:lang w:val="uk-UA"/>
              </w:rPr>
            </w:pPr>
          </w:p>
          <w:p w:rsidR="00A576D8" w:rsidRPr="00EA5238" w:rsidRDefault="004841C3" w:rsidP="001B02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бухгалтерського обліку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2.4. Удосконалення погашення податкового боргу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1. Розробка моделі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пріоритизації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/сегментації боржників на основі вартості та ймовірності стягнення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4588400"/>
            <w:bookmarkStart w:id="3" w:name="_Hlk4588393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Розроблення та супроводження </w:t>
            </w:r>
            <w:bookmarkEnd w:id="2"/>
            <w:bookmarkEnd w:id="3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пропозицій щодо внесення змін до Податкового кодексу України в частині удосконалення процедури погашення податкового боргу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Проєкт Закону України внесено до Верховної Ради України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 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роботі з податковим боргом,</w:t>
            </w:r>
          </w:p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заявки на розроблення програмного забезпечення, необхідного для оптимізації процесу погашення податкового боргу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узгоджену заявку на розроблення відповідного програмного забезпечення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 строки, визначені в наказі ДПС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роботі з податковим боргом,</w:t>
            </w:r>
          </w:p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програмного забезпечення, необхідного для оптимізації процесу погашення податкового боргу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технічне завдання;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br/>
              <w:t>впроваджено програмне забезпечення для оптимізації процесу погашення податкового боргу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 строки, визначені в заявці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електронних сервісів 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2. Реалізація концепції направлення органами ДПС до банків інкасових доручень (розпоряджень)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Затвердження наказу Мінфіну щодо реалізації концепції направлення органами ДПС до банків інкасових доручень (розпоряджень)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Наказ Мінфіну затверджено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рік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роботі з податковим боргом,</w:t>
            </w:r>
          </w:p>
          <w:p w:rsidR="004841C3" w:rsidRPr="00EA5238" w:rsidRDefault="004841C3" w:rsidP="002B4EA0">
            <w:pPr>
              <w:pStyle w:val="a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заявки на розроблення програмного забезпечення, необхідного для формування та направлення інкасових доручень (розпоряджень)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узгоджену заявку на розроблення відповідного програмного забезпечення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 строки, визначені в наказі МФУ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роботі з податковим боргом,</w:t>
            </w:r>
          </w:p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програмного забезпечення, необхідного для забезпечення функціонування інформаційної взаємодії органів ДПС, Державної казначейської служби та банків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технічне завдання;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впроваджено програмне забезпечення для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формування та направлення інкасових доручень (розпоряджень)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строки, визначені в заявці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електронних сервісів 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3. Організація контактного центру для роботи з активними боржниками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та супроводження пропозицій щодо внесення змін до Податкового кодексу України в частині забезпечення функціонування контактного центру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Проєкт Закону України внесено до Верховної Ради України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 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роботі з податковим боргом,</w:t>
            </w:r>
          </w:p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Затвердження відповідного наказу ДПС щодо порядку функціонування контактного центру та взаємодії структурних підрозділів ДПС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Видано відповідний наказ ДПС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2021рік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роботі з податковим боргом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заявки на розроблення програмного забезпечення в частині автоматизації роботи з боржником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узгоджену заявку на розроблення відповідного програмного забезпечення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 строки, визначені в наказі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роботі з податковим боргом,</w:t>
            </w:r>
          </w:p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програмного забезпечення, необхідного для автоматизації роботи з боржником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технічне завдання;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br/>
              <w:t>впроваджено програмне забезпечення для автоматизації роботи з боржником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 строки, визначені в заявці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Проведення навчання працівників підвідомчих структурних підрозділів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Проведено навчання для працівників щодо роботи з активними боржниками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 роботі з податковим боргом,</w:t>
            </w:r>
          </w:p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6A52" w:rsidRPr="00EA5238" w:rsidRDefault="00246A52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6A52" w:rsidRPr="00EA5238" w:rsidRDefault="00246A52" w:rsidP="002B4EA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Формування іміджу ДПС як сервісної служби європейського зразка з високим рівнем довіри у </w:t>
            </w:r>
            <w:r w:rsidRPr="00EA52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суспільстві</w:t>
            </w: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 Заохочення до добровільної сплати податків</w:t>
            </w: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в ДПС аналітичного центру з розроблення та </w:t>
            </w:r>
            <w:bookmarkStart w:id="4" w:name="_Hlk12873332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впровадження стратегій і програм для забезпечення добровільного дотримання вимог податкового законодавства</w:t>
            </w:r>
            <w:bookmarkEnd w:id="4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, законодавства зі сплати єдиного внеску на загальнообов’язкове державне соціальне страхування та стимулювання добровільної сплати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податків, зборів, платежів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Створено аналітичний центр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Протягом року після початку функціонування ДПС у форматі «єдиної юридичної особи»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1B02CF" w:rsidRPr="00EA5238" w:rsidRDefault="001B02CF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стратегій та програм для забезпечення добровільного дотримання вимог податкового законодавства, законодавства зі сплати єдиного внеску на загальнообов’язкове державне соціальне страхування та стимулювання добровільної сплати податків, зборів, платежів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відповідний наказ ДПС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br/>
              <w:t>6 місяців з моменту створення аналітичного центру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плану інформаційної кампанії з популяризації добровільного дотримання вимог податкового законодавства, законодавства зі сплати єдиного внеску на загальнообов’язкове державне соціальне страхування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Розроблено зазначений план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Протягом 6 місяців з моменту створення аналітичного центру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Розроблення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мікрокампаній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, орієнтованих на окремі галузі економіки, з метою стимулювання добровільного дотримання вимог податкового законодавства, законодавства зі сплати єдиного внеску на загальнообов’язкове державне соціальне страхування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Проведено зазначені заходи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2021 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6D8" w:rsidRPr="00EA5238" w:rsidRDefault="004841C3" w:rsidP="001B02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  <w:p w:rsidR="00B50921" w:rsidRPr="00EA5238" w:rsidRDefault="00B50921" w:rsidP="001B02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1" w:rsidRPr="00CE0573" w:rsidTr="00CE0573">
        <w:trPr>
          <w:jc w:val="center"/>
        </w:trPr>
        <w:tc>
          <w:tcPr>
            <w:tcW w:w="2035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3.2. Впровадження зручних та доступних сервісів для платників</w:t>
            </w:r>
          </w:p>
        </w:tc>
        <w:tc>
          <w:tcPr>
            <w:tcW w:w="4912" w:type="dxa"/>
          </w:tcPr>
          <w:p w:rsidR="000A5D31" w:rsidRPr="00EA5238" w:rsidRDefault="000A5D31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Проведення опитування платників щодо поліпшення якості інформаційно-телекомунікаційної системи “Електронний кабінет”</w:t>
            </w:r>
          </w:p>
        </w:tc>
        <w:tc>
          <w:tcPr>
            <w:tcW w:w="2268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аналітичну записку за результатами проведеного опитування</w:t>
            </w:r>
          </w:p>
        </w:tc>
        <w:tc>
          <w:tcPr>
            <w:tcW w:w="2127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 року</w:t>
            </w:r>
          </w:p>
        </w:tc>
        <w:tc>
          <w:tcPr>
            <w:tcW w:w="2409" w:type="dxa"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0A5D31" w:rsidRPr="00CE0573" w:rsidTr="00CE0573">
        <w:trPr>
          <w:jc w:val="center"/>
        </w:trPr>
        <w:tc>
          <w:tcPr>
            <w:tcW w:w="2035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A5D31" w:rsidRPr="00EA5238" w:rsidRDefault="000A5D31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Розробка/участь у розробці  заявок на створення (удосконалення) інформаційно-телекомунікаційної системи “Електронний кабінет” щодо впровадження нових/удосконалення існуючих е-сервісів</w:t>
            </w:r>
          </w:p>
        </w:tc>
        <w:tc>
          <w:tcPr>
            <w:tcW w:w="2268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узгоджені заявки для впровадження нових/удосконалення існуючих е-сервісів</w:t>
            </w:r>
          </w:p>
        </w:tc>
        <w:tc>
          <w:tcPr>
            <w:tcW w:w="2127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ДПС,</w:t>
            </w:r>
          </w:p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0A5D31" w:rsidRPr="00CE0573" w:rsidTr="00CE0573">
        <w:trPr>
          <w:jc w:val="center"/>
        </w:trPr>
        <w:tc>
          <w:tcPr>
            <w:tcW w:w="2035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A5D31" w:rsidRPr="00EA5238" w:rsidRDefault="000A5D31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Забезпечення розроблення та впровадження е-сервісів (у тому числі забезпечення проведення реєстрації, здійснення електронних платежів підприємствами та оновлення інформації платників податків у режимі онлайн)</w:t>
            </w:r>
          </w:p>
        </w:tc>
        <w:tc>
          <w:tcPr>
            <w:tcW w:w="2268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відповідний наказ ДПС;</w:t>
            </w:r>
          </w:p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технічне завдання;</w:t>
            </w:r>
          </w:p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впроваджено програмне забезпечення для розроблення та впровадження</w:t>
            </w:r>
          </w:p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е-сервісів</w:t>
            </w:r>
          </w:p>
        </w:tc>
        <w:tc>
          <w:tcPr>
            <w:tcW w:w="2127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0A5D31" w:rsidRPr="00CE0573" w:rsidTr="00CE0573">
        <w:trPr>
          <w:jc w:val="center"/>
        </w:trPr>
        <w:tc>
          <w:tcPr>
            <w:tcW w:w="2035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A5D31" w:rsidRPr="00EA5238" w:rsidRDefault="000A5D31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заявок на створення (удосконалення) спеціалізованих продуктів (мобільних додатків)</w:t>
            </w:r>
          </w:p>
        </w:tc>
        <w:tc>
          <w:tcPr>
            <w:tcW w:w="2268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узгоджені заявки на створення спеціалізованих продуктів</w:t>
            </w:r>
          </w:p>
        </w:tc>
        <w:tc>
          <w:tcPr>
            <w:tcW w:w="2127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0A5D31" w:rsidRPr="00CE0573" w:rsidTr="00CE0573">
        <w:trPr>
          <w:jc w:val="center"/>
        </w:trPr>
        <w:tc>
          <w:tcPr>
            <w:tcW w:w="2035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A5D31" w:rsidRPr="00EA5238" w:rsidRDefault="000A5D31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Забезпечення розроблення спеціалізованих продуктів (мобільних додатків)</w:t>
            </w:r>
          </w:p>
        </w:tc>
        <w:tc>
          <w:tcPr>
            <w:tcW w:w="2268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технічне завдання;</w:t>
            </w:r>
          </w:p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впроваджено програмне забезпечення</w:t>
            </w:r>
          </w:p>
        </w:tc>
        <w:tc>
          <w:tcPr>
            <w:tcW w:w="2127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0A5D31" w:rsidRPr="00CE0573" w:rsidTr="00CE0573">
        <w:trPr>
          <w:jc w:val="center"/>
        </w:trPr>
        <w:tc>
          <w:tcPr>
            <w:tcW w:w="2035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A5D31" w:rsidRPr="00EA5238" w:rsidRDefault="000A5D31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хмарного сховища для зберігання особистих ключів користувачів в кваліфікованому засобі електронного підпису</w:t>
            </w:r>
          </w:p>
        </w:tc>
        <w:tc>
          <w:tcPr>
            <w:tcW w:w="2268" w:type="dxa"/>
          </w:tcPr>
          <w:p w:rsidR="000A5D31" w:rsidRPr="00EA5238" w:rsidRDefault="000A5D31" w:rsidP="000A5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Хмарне сховище введено в промислову експлуатацію</w:t>
            </w:r>
          </w:p>
        </w:tc>
        <w:tc>
          <w:tcPr>
            <w:tcW w:w="2127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0A5D31" w:rsidRPr="00EA5238" w:rsidRDefault="000A5D31" w:rsidP="00C42D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</w:t>
            </w:r>
          </w:p>
        </w:tc>
      </w:tr>
      <w:tr w:rsidR="000A5D31" w:rsidRPr="00CE0573" w:rsidTr="00CE0573">
        <w:trPr>
          <w:jc w:val="center"/>
        </w:trPr>
        <w:tc>
          <w:tcPr>
            <w:tcW w:w="2035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A5D31" w:rsidRPr="00EA5238" w:rsidRDefault="000A5D31" w:rsidP="000A5D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Розширення можливостей IVR (повідомлення платника про його номер в черзі на IVR, впровадження режиму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Call-back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для втрачених дзвінків Контакт-центру ДПС та «віртуального консультанта», удосконалення сфери застосування голосових повідомлень)</w:t>
            </w:r>
          </w:p>
        </w:tc>
        <w:tc>
          <w:tcPr>
            <w:tcW w:w="2268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Впроваджено розширені можливості IVR</w:t>
            </w:r>
          </w:p>
        </w:tc>
        <w:tc>
          <w:tcPr>
            <w:tcW w:w="2127" w:type="dxa"/>
          </w:tcPr>
          <w:p w:rsidR="000A5D31" w:rsidRPr="00EA5238" w:rsidRDefault="000A5D31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 місяці після оновлення, актуалізації програмного забезпечення Контакт-центру ДПС</w:t>
            </w:r>
          </w:p>
        </w:tc>
        <w:tc>
          <w:tcPr>
            <w:tcW w:w="2409" w:type="dxa"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</w:t>
            </w:r>
          </w:p>
        </w:tc>
      </w:tr>
      <w:tr w:rsidR="000A5D31" w:rsidRPr="00CE0573" w:rsidTr="00CE0573">
        <w:trPr>
          <w:jc w:val="center"/>
        </w:trPr>
        <w:tc>
          <w:tcPr>
            <w:tcW w:w="2035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A5D31" w:rsidRPr="00EA5238" w:rsidRDefault="000A5D3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A5D31" w:rsidRPr="00EA5238" w:rsidRDefault="000A5D31" w:rsidP="000A5D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Впровадження регіонального кластеру Контакт-центру ДПС</w:t>
            </w:r>
          </w:p>
        </w:tc>
        <w:tc>
          <w:tcPr>
            <w:tcW w:w="2268" w:type="dxa"/>
          </w:tcPr>
          <w:p w:rsidR="000A5D31" w:rsidRPr="00EA5238" w:rsidRDefault="00C42D88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Кластер Контакт-центру ДПС створено у територіальному органі ДПС</w:t>
            </w:r>
          </w:p>
        </w:tc>
        <w:tc>
          <w:tcPr>
            <w:tcW w:w="2127" w:type="dxa"/>
          </w:tcPr>
          <w:p w:rsidR="000A5D31" w:rsidRPr="00EA5238" w:rsidRDefault="00C42D88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2409" w:type="dxa"/>
          </w:tcPr>
          <w:p w:rsidR="000A5D31" w:rsidRPr="00EA5238" w:rsidRDefault="00C42D8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</w:t>
            </w:r>
          </w:p>
          <w:p w:rsidR="00C42D88" w:rsidRPr="00EA5238" w:rsidRDefault="00C42D8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D88" w:rsidRPr="00EA5238" w:rsidRDefault="00C42D8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Департамент інфраструктури та бухгалтерського обліку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Cs/>
                <w:sz w:val="20"/>
                <w:szCs w:val="20"/>
              </w:rPr>
              <w:t>3.3. Забезпечення якісного та швидкого консультування платників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Наповнення Бази знань системи CRM IDD та Загальнодоступного інформаційно-довідкового ресурсу (далі – ЗІР) відповідями на уніфіковані запитання фізичних та юридичних осіб, що звертаються до Контакт-центру ДПС, у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. із залученням профільних структурних підрозділів ДПС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Базу знань системи CRM IDD та ЗІР наповнено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Запровадження нового розділу в ЗІР, який буде містити інтерактивний податковий календар із зазначенням термінів сплати податків та зборів і подання звітності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Запроваджено новий розділ в ЗІР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ІІ півріччя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Забезпечення працівників Контакт-центру ДПС ефективним інструментарієм для якісного надання інформаційно-довідкових послуг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База знань наповнена якісними, зрозумілими та актуальними уніфікованими запитаннями-відповідями та алгоритмами дій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ДПС,</w:t>
            </w:r>
          </w:p>
          <w:p w:rsidR="00C42D88" w:rsidRPr="00EA5238" w:rsidRDefault="00C42D8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C42D8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Удосконалення системи навчання працівників Контакт-центру ДПС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Підвищений фаховий рівень працівників Контакт-центру ДПС</w:t>
            </w:r>
          </w:p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Проведення опитування абонентів Контакт-центру ДПС щодо якості інформаційно-довідкових послуг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звіт про проведене опитування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Оприлюднення результатів проведеного опитування на офіційному вебпорталі ДПС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Звіт про опитування оприлюднено на офіційному вебпорталі ДПС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  <w:p w:rsidR="00B50921" w:rsidRPr="00EA5238" w:rsidRDefault="00B5092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3.4. Удосконалення системи зворотного зв’язку з платниками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Запровадження уніфікованої системи вимірювання та оцінки задоволеності бізнесу рівнем обслуговування податкових органів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аналітичну записку за результатами виконання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ІІІ квартал</w:t>
            </w:r>
          </w:p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C42D88" w:rsidRPr="00EA5238" w:rsidRDefault="00C42D8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6D8" w:rsidRPr="00EA5238" w:rsidRDefault="004841C3" w:rsidP="00C42D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Проведення щорічних досліджень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звіт про проведені дослідження</w:t>
            </w:r>
          </w:p>
        </w:tc>
        <w:tc>
          <w:tcPr>
            <w:tcW w:w="2127" w:type="dxa"/>
          </w:tcPr>
          <w:p w:rsidR="004841C3" w:rsidRPr="00EA5238" w:rsidRDefault="004841C3" w:rsidP="009A1A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Щороку починаючи з 2020 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C42D88" w:rsidRPr="00EA5238" w:rsidRDefault="00C42D8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Проведення аналізу отриманих результатів, здійснення заходів з усунення недоліків і реалізації отриманих пропозицій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план заходів з усунення недоліків і реалізації отриманих пропозицій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C42D88" w:rsidRPr="00EA5238" w:rsidRDefault="00C42D8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Інформаційно-довідковий департамент ДПС,</w:t>
            </w:r>
          </w:p>
          <w:p w:rsidR="00C42D88" w:rsidRPr="00EA5238" w:rsidRDefault="00C42D8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3.5. Впровадження програмних РРО</w:t>
            </w: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Забезпечення детінізації розрахунків у сфері торгівлі і послуг відповідно до Закону України від 20 вересня  2019 року № 128 (зі змінами, внесеними Законом України від 17 березня 2020 року № 533)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Забезпечено розробку та впровадження безкоштовного програмного рішення для використання платниками податків програмних реєстраторів розрахункових операцій під час здійснення розрахункових операцій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01 серпня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3.6.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Ребрендинг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та вдосконалення зовнішніх комунікацій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Методичне забезпечення функціонування систем стратегічного управління ДПС 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відповідний наказ ДПС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2020 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Впровадження практики управління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проєктами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ДПС та визначення відповідальних структурних підрозділів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ведення пріоритетних проєктів ДПС відповідно до затвердженого порядку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Прийнято відповідні накази ДПС;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прийнято документи, визначені відповідним порядком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IV квартал 2020 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Організаційно-розпорядчий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ключових показників ефективності ДПС та методики їх розрахунку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Ключові показники ефективності та методики їх розрахунку розроблено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Здійснення оцінки та контролю за виконанням ключових показників ефективності ДПС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На офіційному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br/>
              <w:t>вебпорталі ДПС опубліковано звіти про досягнення ключових показників ефективності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Забезпечення проведення єдиної інформаційної політики ДПС щодо взаємодії із засобами масової інформації </w:t>
            </w:r>
          </w:p>
        </w:tc>
        <w:tc>
          <w:tcPr>
            <w:tcW w:w="2268" w:type="dxa"/>
          </w:tcPr>
          <w:p w:rsidR="004841C3" w:rsidRPr="00EA5238" w:rsidRDefault="004841C3" w:rsidP="00DD72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ДПС взаємодіє із засобами масової інформації в межах єдиної інформаційної політики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2020-2021роки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прозорості діяльності ДПС та підвищення рівня поінформованості суспільства з питань податкової політики</w:t>
            </w:r>
          </w:p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Розміщено інформаційні повідомлення на вебпорталі ДПС та у ЗМІ та проведено медіа-заходи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2020-2021 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Забезпечення участі керівництва ДПС, керівників структурних підрозділів ДПС в  ефірах </w:t>
            </w:r>
            <w:proofErr w:type="spellStart"/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</w:t>
            </w:r>
            <w:proofErr w:type="spellEnd"/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- та радіоканалів з метою роз’яснення актуальних питань сфери діяльності ДПС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сюжети в </w:t>
            </w:r>
            <w:proofErr w:type="spellStart"/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</w:t>
            </w:r>
            <w:proofErr w:type="spellEnd"/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 </w:t>
            </w:r>
            <w:proofErr w:type="spellStart"/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радіоефірах</w:t>
            </w:r>
            <w:proofErr w:type="spellEnd"/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розміщено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2020-2021 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3.7. Удосконалення процедури адміністративного оскарження</w:t>
            </w: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Розроблення та прийняття рішень про внесення змін до нормативно-правових актів Мінфіну (наказів Мінфіну від 21 жовтня 2015 р. № 916 “Про затвердження Порядку оформлення і подання скарг платниками податків та їх розгляду контролюючими органами”, від 09 грудня 2015 р. № 1124 “Про затвердження Порядку розгляду контролюючими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скарг на вимоги про сплату недоїмки зі сплати єдиного внеску на загальнообов’язкове державне соціальне страхування та на рішення про нарахування пені та накладення штрафу”, від 02 березня 2015 р. № 271 “Про затвердження Порядку розгляду звернень та організації особистого прийому громадян у Державній фіскальній службі України та її територіальних органах” щодо вдосконалення процедури розгляду скарг платників податків в адміністративному порядку із впровадженням кращих світових практик, забезпеченням дотримання принципів адміністративної процедури, принципів належного врядування (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goodgovernance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goodadministration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Прийнято відповідні нормативно-правові акти Мінфіну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2020 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адміністративного оскарження,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заявки на створення системи моніторингу результативності розгляду судами податкових спорів, що пройшли процедуру адміністративного оскарження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узгоджену заявку на створення системи моніторингу результативності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III квартал 2020 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адміністративного оскарження,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Забезпечення ІТ-підтримки моніторингу результативності розгляду судами податкових спорів, що пройшли процедуру адміністративного оскарження, на підставі функціональних вимог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технічне завдання; впроваджено програмне забезпечення для ІТ-підтримки моніторингу результативності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 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адміністративного оскарження 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8D20C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Оприлюднення результатів роботи із забезпечення прав платників податків у частині якісного, всебічного, об’єктивного розгляду скарг, зокрема частки справ, розглянутих у судовому порядку після проходження процедури адміністративного оскарження, рішення за якими прийнято на користь Д</w:t>
            </w:r>
            <w:r w:rsidR="008D20C4" w:rsidRPr="00EA5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С, у загальній кількості справ, розглянутих у судовому порядку після проходження процедури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адміністративного оскарження (рівень підтвердження судом рішень процедури адміністративного оскарження)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Публікація на офіційному вебпорталі ДПС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</w:t>
            </w:r>
            <w:r w:rsidR="001B02CF" w:rsidRPr="00EA5238">
              <w:rPr>
                <w:rFonts w:ascii="Times New Roman" w:hAnsi="Times New Roman" w:cs="Times New Roman"/>
                <w:sz w:val="20"/>
                <w:szCs w:val="20"/>
              </w:rPr>
              <w:t>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</w:t>
            </w:r>
            <w:r w:rsidR="001B02CF" w:rsidRPr="00EA5238">
              <w:rPr>
                <w:rFonts w:ascii="Times New Roman" w:hAnsi="Times New Roman" w:cs="Times New Roman"/>
                <w:sz w:val="20"/>
                <w:szCs w:val="20"/>
              </w:rPr>
              <w:t>нт адміністративного оскарження,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Узагальнення практики розгляду податкових спорів в адміністративному та судовому порядках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звіт про результати розгляду податкових спорів в адміністративному та судовому порядку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 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адміністративного оскарження,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Оприлюднення звіту про результати розгляду податкових спорів в адміністративному та судовому порядку, який міститиме огляд найбільш поширених спірних питань, що стають предметом оскарження, та належного шляху вирішення таких питань (який враховуватиме висновки, викладені у постановах Верховного Суду) з метою підвищення ефективності контрольно-перевірочної роботи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Публікація на офіційному вебпорталі ДПС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адміністративного оскарження,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правової 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/>
                <w:sz w:val="20"/>
                <w:szCs w:val="20"/>
              </w:rPr>
              <w:t>4. Протидія ухиленню від оподаткування шляхом запровадження міжнародних стандартів та вдосконалення аналітичних інструментів</w:t>
            </w: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4.1. Ефективне управління ризиками та підвищення аналітичної спроможності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1. Перегляд критеріїв ризику та внесення змін до порядку відбору платників до плану-графіка податкових перевірок, що забезпечать врахування галузевої специфіки, регіональної специфіки, результатів попередніх аудитів, судової практики та даних, які можуть бути отримані від державних органів (“відкритих джерел”)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проєкту наказу Мінфіну щодо внесення змін до Порядку відбору платників податків до плану-графіка перевірок на підставі визначених критеріїв ризиковості з урахуванням галузевої специфіки, регіональної специфіки, результатів попередніх аудитів, судової практики та даних, які можуть бути отримані від державних органів (“відкритих джерел”)</w:t>
            </w:r>
          </w:p>
        </w:tc>
        <w:tc>
          <w:tcPr>
            <w:tcW w:w="2268" w:type="dxa"/>
          </w:tcPr>
          <w:p w:rsidR="004841C3" w:rsidRPr="00EA5238" w:rsidRDefault="009A1A04" w:rsidP="009A1A0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4586676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Підготовлено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наказ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bookmarkEnd w:id="5"/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Мінфіну</w:t>
            </w:r>
            <w:proofErr w:type="spellEnd"/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IIІ квартал 2020 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Забезпечення перегляду критеріїв ризиковості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протокол засідання робочої групи ДПС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 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AC0698" w:rsidRPr="00EA5238" w:rsidRDefault="00AC0698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AC0698" w:rsidRPr="00EA5238" w:rsidRDefault="00AC0698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заявки щодо створення на базі АІС «Податковий блок» програмного модулю «Підозрілі фінансові операції»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узгоджену заявку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боротьби з відмиванням доходів, одержаних злочинним шляхом,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Виконання заходів технічного характеру, необхідних для створення на базі АІС «Податковий блок» програмного модуля «Підрозділи фінансові операції»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технічне завдання, програмне забезпечення впроваджено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боротьби з відмиванням доходів, одержаних злочинним шляхом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DD72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4.2. Запровадження методики оцінки податкових розривів (“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taxgaps</w:t>
            </w:r>
            <w:proofErr w:type="spellEnd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методичних рекомендацій щодо оцінки податкового розриву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Затверджено методичні рекомендації щодо оцінки податкового розриву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ІV квартал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A913B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 Запровадження автоматизованої системи здійснення контролю за обігом підакцизних товарів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системи автоматичного зіставлення показників обсягів обігу та залишків пального, показників обсягів обігу спирту етилового </w:t>
            </w:r>
          </w:p>
        </w:tc>
        <w:tc>
          <w:tcPr>
            <w:tcW w:w="2268" w:type="dxa"/>
          </w:tcPr>
          <w:p w:rsidR="004841C3" w:rsidRPr="00EA5238" w:rsidRDefault="00CA2402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41C3" w:rsidRPr="00EA5238">
              <w:rPr>
                <w:rFonts w:ascii="Times New Roman" w:hAnsi="Times New Roman" w:cs="Times New Roman"/>
                <w:sz w:val="20"/>
                <w:szCs w:val="20"/>
              </w:rPr>
              <w:t>проваджено програмне забезпечення для створення системи автоматичного зіставлення показників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15 серпня 2020 року</w:t>
            </w:r>
          </w:p>
        </w:tc>
        <w:tc>
          <w:tcPr>
            <w:tcW w:w="2409" w:type="dxa"/>
          </w:tcPr>
          <w:p w:rsidR="00A913B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</w:t>
            </w:r>
            <w:r w:rsidR="00A913B3"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913B3" w:rsidRPr="00EA5238" w:rsidRDefault="00A913B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3B3" w:rsidRPr="00EA5238" w:rsidRDefault="00A913B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контролю за підакцизними товарами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4.4. Імплементація плану дій з протидії розмиванню податкової бази та виведенню прибутку з-під оподаткування (у т. ч. кроків 8 – 10 </w:t>
            </w:r>
            <w:r w:rsidRPr="00EA5238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щодо удосконалення контролю за трансфертним ціноутворенням)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Вжиття заходів для здійснення на постійній основі обміну податковими роз’ясненнями  (</w:t>
            </w: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міжнародними односторонніми угодами про ціноутворення в цілях оподаткування (АРА</w:t>
            </w: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) (за наявності)</w:t>
            </w:r>
          </w:p>
          <w:p w:rsidR="004841C3" w:rsidRPr="00EA5238" w:rsidRDefault="004841C3" w:rsidP="002B4EA0">
            <w:pPr>
              <w:pStyle w:val="a5"/>
              <w:shd w:val="clear" w:color="auto" w:fill="FFFFFF"/>
              <w:spacing w:before="0"/>
              <w:ind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A5238">
              <w:rPr>
                <w:rFonts w:ascii="Times New Roman" w:hAnsi="Times New Roman"/>
                <w:color w:val="000000"/>
                <w:sz w:val="20"/>
              </w:rPr>
              <w:t>з компетентними органами інших країн відповідно до вимог дії 5 Плану дій з протидії розмиванню податкової бази та виведенню прибутку з-під оподаткування (</w:t>
            </w:r>
            <w:proofErr w:type="spellStart"/>
            <w:r w:rsidRPr="00EA5238">
              <w:rPr>
                <w:rFonts w:ascii="Times New Roman" w:hAnsi="Times New Roman"/>
                <w:color w:val="000000"/>
                <w:sz w:val="20"/>
              </w:rPr>
              <w:t>BaseErosionandProfitShifting</w:t>
            </w:r>
            <w:proofErr w:type="spellEnd"/>
            <w:r w:rsidRPr="00EA5238">
              <w:rPr>
                <w:rFonts w:ascii="Times New Roman" w:hAnsi="Times New Roman"/>
                <w:color w:val="000000"/>
                <w:sz w:val="20"/>
              </w:rPr>
              <w:t xml:space="preserve"> –BEPS)</w:t>
            </w:r>
          </w:p>
        </w:tc>
        <w:tc>
          <w:tcPr>
            <w:tcW w:w="2268" w:type="dxa"/>
          </w:tcPr>
          <w:p w:rsidR="004841C3" w:rsidRPr="00EA5238" w:rsidRDefault="004841C3" w:rsidP="00DD72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Ініційовано внесення змін до Порядку попереднього ціноутворення у контрольованих операціях, за результатами якого укладаються договори, </w:t>
            </w: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що мають односторонній, двосторонній та багатосторонній характер, для цілей трансфертного ціноутворення, затвердженого постановою Кабінету Міністрів України від 17 липня 2015 року № 504, зі змінами і доповненнями,  </w:t>
            </w:r>
            <w:proofErr w:type="spellStart"/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участині</w:t>
            </w:r>
            <w:proofErr w:type="spellEnd"/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порядку обміну АРА між ДПС </w:t>
            </w:r>
            <w:r w:rsidRPr="00EA52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 компетентними органами інших країн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ІV квартал 2020 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41C3" w:rsidRPr="00EA5238" w:rsidRDefault="004841C3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правової </w:t>
            </w: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роботи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Підготовка заявки на створення (придбання) сучасної автоматизованої системи роботи з великими масивами даних</w:t>
            </w:r>
          </w:p>
        </w:tc>
        <w:tc>
          <w:tcPr>
            <w:tcW w:w="2268" w:type="dxa"/>
          </w:tcPr>
          <w:p w:rsidR="004841C3" w:rsidRPr="00EA5238" w:rsidRDefault="004841C3" w:rsidP="000633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Підготовлено заявку на створення (придбання) сучасної автоматизованої системи роботи з великими масивами даних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 рік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063323" w:rsidRPr="00EA5238" w:rsidRDefault="00063323" w:rsidP="002B4EA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електронних сервісів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Розробка </w:t>
            </w:r>
            <w:r w:rsidRPr="00EA52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Посібника аудитора з контролю за трансфертним ціноутворенням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Затверджений </w:t>
            </w:r>
            <w:r w:rsidRPr="00EA52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Посібник аудитора з контролю за трансфертним ціноутворенням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рік</w:t>
            </w:r>
          </w:p>
          <w:p w:rsidR="004841C3" w:rsidRPr="00EA5238" w:rsidRDefault="004841C3" w:rsidP="00DD72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 оновленням надалі)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податкового аудиту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Формування Бібліотеки перекладів міжнародних документів з проблематики BEPS та трансфертного ціноутворення (документи прийняті OECD, UN, EU, JTPF) (Бібліотека BEPS-TP)</w:t>
            </w:r>
            <w:r w:rsidR="00193CE4"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 тому числі шляхом забезпечення закупівлі послуг із їх перекладу</w:t>
            </w:r>
          </w:p>
        </w:tc>
        <w:tc>
          <w:tcPr>
            <w:tcW w:w="2268" w:type="dxa"/>
          </w:tcPr>
          <w:p w:rsidR="004841C3" w:rsidRPr="00EA5238" w:rsidRDefault="004841C3" w:rsidP="0059759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Документи перекладено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– 2021 роки</w:t>
            </w:r>
          </w:p>
          <w:p w:rsidR="004841C3" w:rsidRPr="00EA5238" w:rsidRDefault="004841C3" w:rsidP="002B4EA0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93CE4" w:rsidRPr="00EA5238" w:rsidRDefault="00193CE4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податкового аудиту,</w:t>
            </w:r>
          </w:p>
          <w:p w:rsidR="00193CE4" w:rsidRPr="00EA5238" w:rsidRDefault="00193CE4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41C3" w:rsidRPr="00EA5238" w:rsidRDefault="004841C3" w:rsidP="00193CE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інфраструктури та бухгалтерського обліку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DD72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4.5. Ефективна та скоординована міжнародна співпраця та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посилення міжнародного обміну інформацією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Підготовка підзаконних актів, необхідних для застосування положень угоди FATCA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Підготовлено відповідний нормативно-правовий акт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ІІІ квартал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Здійснення першого обміну фінансовою інформацією з компетентним органом США відповідно до  положень угоди FATCA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Звіти передано компетентному органу США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Проходження оцінки Глобального форуму ОЕСР з прозорості та обміну інформацією для податкових цілей щодо дотримання конфіденційності</w:t>
            </w:r>
          </w:p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та захисту інформації для цілей автоматичного обміну інформацією та виконання рекомендацій за результатами оцінки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Отримано рекомендації Глобального</w:t>
            </w:r>
          </w:p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форуму за результатами оцінки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ІІІ квартал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охорони державної таємниці, технічного та криптографічного захисту інформації,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  <w:p w:rsidR="00B50921" w:rsidRPr="00EA5238" w:rsidRDefault="00B5092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921" w:rsidRPr="00EA5238" w:rsidRDefault="00B50921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Здійснення заходів для приєднання до угоди MCAA CRS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Підписано зазначену угоду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IV квартал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Виконання заходів технічного характеру (на підставі функціональних вимог), необхідних для здійснення автоматичного обміну інформацією відповідно до вимог стандарту CRS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Впроваджено відповідне програмне забезпечення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IІІ квартал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бухгалтерського обліку,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ДПС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Здійснення обміну фінансовою інформацією відповідно до вимог стандарту CRS</w:t>
            </w:r>
          </w:p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Звіти передані компетентним органам зарубіжних держав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IV квартал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електронних сервісів,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адміністрування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Здійснення заходів для приєднання до угоди MCAA </w:t>
            </w:r>
            <w:proofErr w:type="spellStart"/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CbC</w:t>
            </w:r>
            <w:proofErr w:type="spellEnd"/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Підписано зазначену угоду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IV квартал 2021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департамент,</w:t>
            </w:r>
          </w:p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6D8" w:rsidRPr="00EA5238" w:rsidRDefault="004841C3" w:rsidP="001B02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структурні підрозділи ДПС</w:t>
            </w:r>
          </w:p>
          <w:p w:rsidR="00CA0261" w:rsidRPr="00EA5238" w:rsidRDefault="00CA0261" w:rsidP="001B02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lastRenderedPageBreak/>
              <w:t>5. Формування кваліфікованої, ефективної та мотивованої команди</w:t>
            </w: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5.1. Залучення та адаптація у ДПС кваліфікованих фахівців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розпорядчих документів з питань добору персоналу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відповідні розпорядчі документи</w:t>
            </w:r>
          </w:p>
        </w:tc>
        <w:tc>
          <w:tcPr>
            <w:tcW w:w="2127" w:type="dxa"/>
          </w:tcPr>
          <w:p w:rsidR="004841C3" w:rsidRPr="00EA5238" w:rsidRDefault="004841C3" w:rsidP="00AD6D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ІІІ квартал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конкурсів (доборів) на зайняття вакантних посад державної служби категорій «Б» і «В»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відповідні накази ДПС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 терміни, визначені наказами ДПС про оголошення конкурсів (доборів)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програми адаптації осіб, вперше прийнятих на державну службу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відповідні розпорядчі документи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IV квартал 2020 року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5.2. Організація підвищення рівня професійної компетентності працівників протягом проходження служби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рік, який задовольняє потреби державних службовців у підвищенні професійної компетентності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Затверджено План підвищення рівня професійної компетентності державних службовців ДПС та її територіальних органів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Підвищення професійного рівня працівників ДПС </w:t>
            </w: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 питань </w:t>
            </w: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BEPS, у т. ч. шляхом залучення міжнародних експертів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Забезпечено участь у навчаннях, курсах, семінарах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41C3" w:rsidRPr="00EA5238" w:rsidRDefault="004841C3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персоналу,</w:t>
            </w:r>
          </w:p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4841C3" w:rsidRPr="00EA5238" w:rsidRDefault="004841C3" w:rsidP="00DD72B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Залучення експертів у межах проєкту «Податкові інспектори без кордонів» для надання практичної допомоги у проведенні перевірок з питань трансфертного ціноутворення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Отримано звіти залучених експертів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рік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податкового аудиту,</w:t>
            </w:r>
          </w:p>
          <w:p w:rsidR="004841C3" w:rsidRPr="00EA5238" w:rsidRDefault="004841C3" w:rsidP="002B4E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41C3" w:rsidRPr="00EA5238" w:rsidRDefault="004841C3" w:rsidP="002B4EA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</w:t>
            </w:r>
          </w:p>
          <w:p w:rsidR="00A576D8" w:rsidRPr="00EA5238" w:rsidRDefault="00A576D8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1C3" w:rsidRPr="00CE0573" w:rsidTr="00CE0573">
        <w:trPr>
          <w:jc w:val="center"/>
        </w:trPr>
        <w:tc>
          <w:tcPr>
            <w:tcW w:w="2035" w:type="dxa"/>
            <w:vMerge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5.3. Впровадження системи оцінки ефективності та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мотивації персоналу</w:t>
            </w:r>
          </w:p>
        </w:tc>
        <w:tc>
          <w:tcPr>
            <w:tcW w:w="4912" w:type="dxa"/>
          </w:tcPr>
          <w:p w:rsidR="004841C3" w:rsidRPr="00EA5238" w:rsidRDefault="004841C3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Забезпечення організації та проведення щорічного оцінювання службової діяльності державних службовців ДПС категорій «Б» та «В» на основі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визначених показників</w:t>
            </w:r>
          </w:p>
        </w:tc>
        <w:tc>
          <w:tcPr>
            <w:tcW w:w="2268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Прийнято розпорядчі документи ДПС щодо організації оцінювання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результатів службової діяльності</w:t>
            </w:r>
          </w:p>
        </w:tc>
        <w:tc>
          <w:tcPr>
            <w:tcW w:w="2127" w:type="dxa"/>
          </w:tcPr>
          <w:p w:rsidR="004841C3" w:rsidRPr="00EA5238" w:rsidRDefault="004841C3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Щороку починаючи з 2020</w:t>
            </w:r>
          </w:p>
        </w:tc>
        <w:tc>
          <w:tcPr>
            <w:tcW w:w="2409" w:type="dxa"/>
          </w:tcPr>
          <w:p w:rsidR="004841C3" w:rsidRPr="00EA5238" w:rsidRDefault="004841C3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AD6D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Проведення моніторингу виконання завдань і ключових показників результативності, ефективності та якості службової діяльності державних службовців ДПС категорій «Б» та «В»</w:t>
            </w:r>
          </w:p>
        </w:tc>
        <w:tc>
          <w:tcPr>
            <w:tcW w:w="2268" w:type="dxa"/>
          </w:tcPr>
          <w:p w:rsidR="000E0C24" w:rsidRPr="00EA5238" w:rsidRDefault="000E0C24" w:rsidP="00AD6D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Проведено моніторинг</w:t>
            </w:r>
          </w:p>
          <w:p w:rsidR="000E0C24" w:rsidRPr="00EA5238" w:rsidRDefault="000E0C24" w:rsidP="00AD6D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C24" w:rsidRPr="00EA5238" w:rsidRDefault="000E0C24" w:rsidP="00AD6D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E0C24" w:rsidRPr="00EA5238" w:rsidRDefault="000E0C24" w:rsidP="00AD6D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409" w:type="dxa"/>
          </w:tcPr>
          <w:p w:rsidR="000E0C24" w:rsidRPr="00EA5238" w:rsidRDefault="000E0C24" w:rsidP="00AD6D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підрозділів ДПС,</w:t>
            </w:r>
          </w:p>
          <w:p w:rsidR="000E0C24" w:rsidRPr="00EA5238" w:rsidRDefault="000E0C24" w:rsidP="00AD6D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C24" w:rsidRPr="00EA5238" w:rsidRDefault="000E0C24" w:rsidP="00AD6D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Розроблення та запровадження комплексної системи заходів мотивації та заохочення до доброчесного та ініціативного виконання обов’язків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відповідні розпорядчі документи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ІV квартал 2020 року</w:t>
            </w:r>
          </w:p>
        </w:tc>
        <w:tc>
          <w:tcPr>
            <w:tcW w:w="2409" w:type="dxa"/>
          </w:tcPr>
          <w:p w:rsidR="000E0C24" w:rsidRPr="00EA5238" w:rsidRDefault="000E0C24" w:rsidP="00634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кадрового забезпечення та розвитку персоналу,</w:t>
            </w:r>
          </w:p>
          <w:p w:rsidR="000E0C24" w:rsidRPr="00EA5238" w:rsidRDefault="000E0C24" w:rsidP="00634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C24" w:rsidRPr="00EA5238" w:rsidRDefault="000E0C24" w:rsidP="000E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бухгалтерського обліку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5.4. Контроль за дотриманням Правил етичної поведінки</w:t>
            </w: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Висвітлення інформації щодо Правил етичної поведінки на офіційному вебпорталі ДПС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Інформацію розміщено на офіційному вебпорталі ДПС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2021роки</w:t>
            </w:r>
          </w:p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корупції,</w:t>
            </w:r>
          </w:p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Інформування співробітників ДПС та громадськості щодо діяльності уповноважених підрозділів (осіб) з питань запобігання та виявлення корупції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Інформацію розміщено на офіційному вебпорталі ДПС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Упередження фактів порушення співробітниками ДПС Правил етичної поведінки. Проведення занять (лекцій-семінарів) щодо дотримання Правил етичної поведінки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Проведено заняття з співробітниками ДПС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Проведено бесіди зі співробітниками ДПС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2021роки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Проведення перевірок та притягнення винних працівників до дисциплінарної відповідальності за фактами порушення Правил етичної поведінки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Прийнято відповідні накази ДПС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2020 – 2021 роки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5.5. Проведення ідентифікації та оцінки корупційних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ризиків</w:t>
            </w: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Проведення ідентифікації (виявлення) корупційних ризиків у діяльності ДПС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 xml:space="preserve">Ідентифіковано (виявлено) корупційні ризики у діяльності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ДПС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Відповідно до Плану роботи Комісії з оцінки корупційних 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ризиків (далі – Комісія ОКР)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Управління з питань запобігання та виявлення корупції</w:t>
            </w:r>
          </w:p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Схвалення Опису корупційних ризиків у діяльності ДПС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Схвалено опис корупційних ризиків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Відповідно до Плану роботи Комісії ОКР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Проведення оцінки корупційних ризиків, відповідно до критеріїв, визначених у Методології оцінювання корупційних ризиків у діяльності органів влади, затвердженої рішенням НАЗК від 02.12.2016 № 126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Корупційні ризики оцінено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Відповідно до Плану роботи Комісії ОКР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</w:t>
            </w:r>
          </w:p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та схвалення Комісією ОКР Таблиці оцінки корупційних ризиків у діяльності ДПС та заходів щодо їх усунення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Таблицю Підготовлено та схвалено Комісією ОКР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Відповідно до Плану роботи Комісії ОКР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та схвалення Комісією Звіту за результатами оцінки корупційних ризиків у діяльності ДПС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Звіт схвалено Комісією ОКР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Відповідно до Плану роботи Комісії ОКР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Підготовка анкети та проведення анонімного опитування платників податків їх оцінки сприйняття рівня корупції у ДПС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Опитувальник-анкету підготовлено, опитування проведено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Надання консультативної допомоги під час опитування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Консультації надано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</w:t>
            </w:r>
          </w:p>
        </w:tc>
      </w:tr>
      <w:tr w:rsidR="000E0C24" w:rsidRPr="00CE0573" w:rsidTr="00CE0573">
        <w:trPr>
          <w:jc w:val="center"/>
        </w:trPr>
        <w:tc>
          <w:tcPr>
            <w:tcW w:w="2035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</w:tcPr>
          <w:p w:rsidR="000E0C24" w:rsidRPr="00EA5238" w:rsidRDefault="000E0C24" w:rsidP="002B4E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Розміщення на вебпо</w:t>
            </w:r>
            <w:r w:rsidR="00B50921" w:rsidRPr="00EA523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талі  ДПС результатів проведеного опитування</w:t>
            </w:r>
          </w:p>
        </w:tc>
        <w:tc>
          <w:tcPr>
            <w:tcW w:w="2268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Результати опитування розміщено на вебпорталі ДПС</w:t>
            </w:r>
          </w:p>
        </w:tc>
        <w:tc>
          <w:tcPr>
            <w:tcW w:w="2127" w:type="dxa"/>
          </w:tcPr>
          <w:p w:rsidR="000E0C24" w:rsidRPr="00EA5238" w:rsidRDefault="000E0C24" w:rsidP="002B4E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Щороку починаючи з 2020</w:t>
            </w:r>
          </w:p>
        </w:tc>
        <w:tc>
          <w:tcPr>
            <w:tcW w:w="2409" w:type="dxa"/>
          </w:tcPr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Управління з питань запобігання та виявлення корупції,</w:t>
            </w:r>
          </w:p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C24" w:rsidRPr="00EA5238" w:rsidRDefault="000E0C24" w:rsidP="002B4EA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A5238">
              <w:rPr>
                <w:rFonts w:ascii="Times New Roman" w:hAnsi="Times New Roman" w:cs="Times New Roman"/>
                <w:sz w:val="20"/>
                <w:szCs w:val="20"/>
              </w:rPr>
              <w:t>Організаційно-розпорядчий департамент</w:t>
            </w:r>
          </w:p>
        </w:tc>
      </w:tr>
    </w:tbl>
    <w:p w:rsidR="000564D9" w:rsidRPr="00B65618" w:rsidRDefault="000564D9" w:rsidP="00DF3C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5618" w:rsidRPr="00B65618" w:rsidRDefault="00B65618" w:rsidP="00DF3C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5618" w:rsidRPr="00B65618" w:rsidRDefault="00B65618" w:rsidP="00DF3C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Директор Організаційно-розпорядчого департаменту</w:t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  <w:t>Сергій ЗЛАКОМАН</w:t>
      </w:r>
    </w:p>
    <w:p w:rsidR="008D2AE1" w:rsidRPr="00B65618" w:rsidRDefault="008D2A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D2AE1" w:rsidRPr="00B65618" w:rsidSect="00572ABE">
      <w:headerReference w:type="default" r:id="rId7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46" w:rsidRDefault="003F4046" w:rsidP="00572ABE">
      <w:pPr>
        <w:spacing w:after="0" w:line="240" w:lineRule="auto"/>
      </w:pPr>
      <w:r>
        <w:separator/>
      </w:r>
    </w:p>
  </w:endnote>
  <w:endnote w:type="continuationSeparator" w:id="0">
    <w:p w:rsidR="003F4046" w:rsidRDefault="003F4046" w:rsidP="0057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46" w:rsidRDefault="003F4046" w:rsidP="00572ABE">
      <w:pPr>
        <w:spacing w:after="0" w:line="240" w:lineRule="auto"/>
      </w:pPr>
      <w:r>
        <w:separator/>
      </w:r>
    </w:p>
  </w:footnote>
  <w:footnote w:type="continuationSeparator" w:id="0">
    <w:p w:rsidR="003F4046" w:rsidRDefault="003F4046" w:rsidP="0057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059753"/>
      <w:docPartObj>
        <w:docPartGallery w:val="Page Numbers (Top of Page)"/>
        <w:docPartUnique/>
      </w:docPartObj>
    </w:sdtPr>
    <w:sdtEndPr/>
    <w:sdtContent>
      <w:p w:rsidR="00AD6DEF" w:rsidRDefault="00AD6D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02" w:rsidRPr="001A1902">
          <w:rPr>
            <w:noProof/>
            <w:lang w:val="ru-RU"/>
          </w:rPr>
          <w:t>27</w:t>
        </w:r>
        <w:r>
          <w:fldChar w:fldCharType="end"/>
        </w:r>
      </w:p>
    </w:sdtContent>
  </w:sdt>
  <w:p w:rsidR="00AD6DEF" w:rsidRDefault="00AD6D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D9"/>
    <w:rsid w:val="000016A0"/>
    <w:rsid w:val="00014A7F"/>
    <w:rsid w:val="00025048"/>
    <w:rsid w:val="00051E70"/>
    <w:rsid w:val="00055694"/>
    <w:rsid w:val="000564D9"/>
    <w:rsid w:val="00063323"/>
    <w:rsid w:val="00064385"/>
    <w:rsid w:val="0006522D"/>
    <w:rsid w:val="000749B0"/>
    <w:rsid w:val="000A1BC2"/>
    <w:rsid w:val="000A4DA0"/>
    <w:rsid w:val="000A5C1D"/>
    <w:rsid w:val="000A5D31"/>
    <w:rsid w:val="000C38C6"/>
    <w:rsid w:val="000E0C24"/>
    <w:rsid w:val="00124C2D"/>
    <w:rsid w:val="0013478B"/>
    <w:rsid w:val="00162EFF"/>
    <w:rsid w:val="00184891"/>
    <w:rsid w:val="00192113"/>
    <w:rsid w:val="00193CE4"/>
    <w:rsid w:val="001A1902"/>
    <w:rsid w:val="001B02CF"/>
    <w:rsid w:val="001D12E8"/>
    <w:rsid w:val="00200223"/>
    <w:rsid w:val="00212CE6"/>
    <w:rsid w:val="00217BE5"/>
    <w:rsid w:val="0022286A"/>
    <w:rsid w:val="00223D3F"/>
    <w:rsid w:val="00235DB2"/>
    <w:rsid w:val="00241651"/>
    <w:rsid w:val="00246A52"/>
    <w:rsid w:val="00246DFA"/>
    <w:rsid w:val="00252691"/>
    <w:rsid w:val="00272B2C"/>
    <w:rsid w:val="00272FBD"/>
    <w:rsid w:val="002842FE"/>
    <w:rsid w:val="00292CCD"/>
    <w:rsid w:val="002B3143"/>
    <w:rsid w:val="002B4EA0"/>
    <w:rsid w:val="002B76BA"/>
    <w:rsid w:val="002E3BFB"/>
    <w:rsid w:val="002E7D3B"/>
    <w:rsid w:val="002F17C1"/>
    <w:rsid w:val="0032119F"/>
    <w:rsid w:val="00321351"/>
    <w:rsid w:val="00351F06"/>
    <w:rsid w:val="003537F1"/>
    <w:rsid w:val="00354768"/>
    <w:rsid w:val="003716FD"/>
    <w:rsid w:val="00376D11"/>
    <w:rsid w:val="003843FB"/>
    <w:rsid w:val="003871FF"/>
    <w:rsid w:val="00391500"/>
    <w:rsid w:val="003D4886"/>
    <w:rsid w:val="003E3ADA"/>
    <w:rsid w:val="003E58C6"/>
    <w:rsid w:val="003F4046"/>
    <w:rsid w:val="003F44F3"/>
    <w:rsid w:val="00407819"/>
    <w:rsid w:val="004247D6"/>
    <w:rsid w:val="00446115"/>
    <w:rsid w:val="00451802"/>
    <w:rsid w:val="00453BD9"/>
    <w:rsid w:val="00456CDF"/>
    <w:rsid w:val="00462843"/>
    <w:rsid w:val="004704D4"/>
    <w:rsid w:val="004831FF"/>
    <w:rsid w:val="004841C3"/>
    <w:rsid w:val="004845D8"/>
    <w:rsid w:val="00491D9E"/>
    <w:rsid w:val="004D31E9"/>
    <w:rsid w:val="004D3F99"/>
    <w:rsid w:val="004F7E0E"/>
    <w:rsid w:val="0051511E"/>
    <w:rsid w:val="00526C81"/>
    <w:rsid w:val="00532D8E"/>
    <w:rsid w:val="0053307B"/>
    <w:rsid w:val="00535CF3"/>
    <w:rsid w:val="00536AB4"/>
    <w:rsid w:val="00567598"/>
    <w:rsid w:val="00572ABE"/>
    <w:rsid w:val="005905F8"/>
    <w:rsid w:val="0059759B"/>
    <w:rsid w:val="005A0AE0"/>
    <w:rsid w:val="005A70BD"/>
    <w:rsid w:val="005B0C43"/>
    <w:rsid w:val="005B5756"/>
    <w:rsid w:val="005C4366"/>
    <w:rsid w:val="005C508A"/>
    <w:rsid w:val="005D4E24"/>
    <w:rsid w:val="005E3212"/>
    <w:rsid w:val="005E7E29"/>
    <w:rsid w:val="006035DC"/>
    <w:rsid w:val="006060E5"/>
    <w:rsid w:val="00616BCD"/>
    <w:rsid w:val="00632D5F"/>
    <w:rsid w:val="00633170"/>
    <w:rsid w:val="0063468D"/>
    <w:rsid w:val="00634D64"/>
    <w:rsid w:val="006503C6"/>
    <w:rsid w:val="006771C8"/>
    <w:rsid w:val="006A3CD9"/>
    <w:rsid w:val="006B4036"/>
    <w:rsid w:val="006E4E02"/>
    <w:rsid w:val="006E76E1"/>
    <w:rsid w:val="006E77B9"/>
    <w:rsid w:val="0072468A"/>
    <w:rsid w:val="0072608E"/>
    <w:rsid w:val="00730BF7"/>
    <w:rsid w:val="00745349"/>
    <w:rsid w:val="00746711"/>
    <w:rsid w:val="00755CD4"/>
    <w:rsid w:val="00756859"/>
    <w:rsid w:val="00777C54"/>
    <w:rsid w:val="007832FE"/>
    <w:rsid w:val="007A0CCD"/>
    <w:rsid w:val="007A49B1"/>
    <w:rsid w:val="007B7E6F"/>
    <w:rsid w:val="00803E03"/>
    <w:rsid w:val="008129F8"/>
    <w:rsid w:val="00843B83"/>
    <w:rsid w:val="00846B5F"/>
    <w:rsid w:val="0084715D"/>
    <w:rsid w:val="0085079A"/>
    <w:rsid w:val="0087148B"/>
    <w:rsid w:val="008873AA"/>
    <w:rsid w:val="008926EA"/>
    <w:rsid w:val="008975F2"/>
    <w:rsid w:val="008A20E3"/>
    <w:rsid w:val="008A3A5D"/>
    <w:rsid w:val="008D20C4"/>
    <w:rsid w:val="008D2AE1"/>
    <w:rsid w:val="008D642E"/>
    <w:rsid w:val="008E0F88"/>
    <w:rsid w:val="008F3C62"/>
    <w:rsid w:val="008F3D90"/>
    <w:rsid w:val="00905F3C"/>
    <w:rsid w:val="009134A9"/>
    <w:rsid w:val="00916047"/>
    <w:rsid w:val="00926E3E"/>
    <w:rsid w:val="00930FF1"/>
    <w:rsid w:val="00934CB9"/>
    <w:rsid w:val="0094627A"/>
    <w:rsid w:val="00951DE2"/>
    <w:rsid w:val="009804CD"/>
    <w:rsid w:val="00985165"/>
    <w:rsid w:val="009900AC"/>
    <w:rsid w:val="009A1A04"/>
    <w:rsid w:val="009C7C24"/>
    <w:rsid w:val="009D789A"/>
    <w:rsid w:val="009F211A"/>
    <w:rsid w:val="00A01808"/>
    <w:rsid w:val="00A31A77"/>
    <w:rsid w:val="00A32A6F"/>
    <w:rsid w:val="00A576D8"/>
    <w:rsid w:val="00A67F29"/>
    <w:rsid w:val="00A76F11"/>
    <w:rsid w:val="00A85F31"/>
    <w:rsid w:val="00A913B3"/>
    <w:rsid w:val="00A925EC"/>
    <w:rsid w:val="00AA3CA0"/>
    <w:rsid w:val="00AB2041"/>
    <w:rsid w:val="00AC0698"/>
    <w:rsid w:val="00AC3ED4"/>
    <w:rsid w:val="00AD0580"/>
    <w:rsid w:val="00AD6DEF"/>
    <w:rsid w:val="00AF5913"/>
    <w:rsid w:val="00AF7FB8"/>
    <w:rsid w:val="00B05B87"/>
    <w:rsid w:val="00B157B1"/>
    <w:rsid w:val="00B35C21"/>
    <w:rsid w:val="00B50921"/>
    <w:rsid w:val="00B5595E"/>
    <w:rsid w:val="00B60FCF"/>
    <w:rsid w:val="00B65618"/>
    <w:rsid w:val="00BB1102"/>
    <w:rsid w:val="00BB6A07"/>
    <w:rsid w:val="00BD4476"/>
    <w:rsid w:val="00C25106"/>
    <w:rsid w:val="00C26B87"/>
    <w:rsid w:val="00C42D88"/>
    <w:rsid w:val="00C44B76"/>
    <w:rsid w:val="00C627CD"/>
    <w:rsid w:val="00C633DD"/>
    <w:rsid w:val="00C72D03"/>
    <w:rsid w:val="00C9036D"/>
    <w:rsid w:val="00CA0261"/>
    <w:rsid w:val="00CA2402"/>
    <w:rsid w:val="00CB4539"/>
    <w:rsid w:val="00CB6A7E"/>
    <w:rsid w:val="00CE0573"/>
    <w:rsid w:val="00D53180"/>
    <w:rsid w:val="00D620BD"/>
    <w:rsid w:val="00DB0B52"/>
    <w:rsid w:val="00DB56C8"/>
    <w:rsid w:val="00DC38CF"/>
    <w:rsid w:val="00DC3D0A"/>
    <w:rsid w:val="00DD29B7"/>
    <w:rsid w:val="00DD3AE6"/>
    <w:rsid w:val="00DD72B2"/>
    <w:rsid w:val="00DF3C74"/>
    <w:rsid w:val="00E04923"/>
    <w:rsid w:val="00E06B29"/>
    <w:rsid w:val="00E4763A"/>
    <w:rsid w:val="00E60D35"/>
    <w:rsid w:val="00E66C7B"/>
    <w:rsid w:val="00E93F70"/>
    <w:rsid w:val="00E955D8"/>
    <w:rsid w:val="00EA01F4"/>
    <w:rsid w:val="00EA5238"/>
    <w:rsid w:val="00EB2B3D"/>
    <w:rsid w:val="00EB6FBF"/>
    <w:rsid w:val="00EC5DF4"/>
    <w:rsid w:val="00EE3FB6"/>
    <w:rsid w:val="00F01799"/>
    <w:rsid w:val="00F31036"/>
    <w:rsid w:val="00F36DC8"/>
    <w:rsid w:val="00F6100B"/>
    <w:rsid w:val="00F75F9D"/>
    <w:rsid w:val="00F87330"/>
    <w:rsid w:val="00FA54AC"/>
    <w:rsid w:val="00FB31B2"/>
    <w:rsid w:val="00FE638D"/>
    <w:rsid w:val="00FF07E6"/>
    <w:rsid w:val="00FF0CE2"/>
    <w:rsid w:val="00FF1D1A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8C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3E58C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3E58C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Нормальний текст"/>
    <w:basedOn w:val="a"/>
    <w:rsid w:val="0025269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 Spacing"/>
    <w:uiPriority w:val="1"/>
    <w:qFormat/>
    <w:rsid w:val="00456CD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72A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72ABE"/>
  </w:style>
  <w:style w:type="paragraph" w:styleId="a9">
    <w:name w:val="footer"/>
    <w:basedOn w:val="a"/>
    <w:link w:val="aa"/>
    <w:uiPriority w:val="99"/>
    <w:unhideWhenUsed/>
    <w:rsid w:val="00572A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72ABE"/>
  </w:style>
  <w:style w:type="paragraph" w:styleId="ab">
    <w:name w:val="Quote"/>
    <w:basedOn w:val="a"/>
    <w:next w:val="a"/>
    <w:link w:val="ac"/>
    <w:uiPriority w:val="29"/>
    <w:qFormat/>
    <w:rsid w:val="003716FD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ac">
    <w:name w:val="Цитація Знак"/>
    <w:basedOn w:val="a0"/>
    <w:link w:val="ab"/>
    <w:uiPriority w:val="29"/>
    <w:rsid w:val="003716FD"/>
    <w:rPr>
      <w:rFonts w:ascii="Calibri" w:eastAsia="Calibri" w:hAnsi="Calibri" w:cs="Times New Roman"/>
      <w:i/>
      <w:iCs/>
      <w:color w:val="000000" w:themeColor="text1"/>
    </w:rPr>
  </w:style>
  <w:style w:type="paragraph" w:customStyle="1" w:styleId="Default">
    <w:name w:val="Default"/>
    <w:rsid w:val="00371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A31A7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A31A7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7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074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8C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3E58C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3E58C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Нормальний текст"/>
    <w:basedOn w:val="a"/>
    <w:rsid w:val="0025269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 Spacing"/>
    <w:uiPriority w:val="1"/>
    <w:qFormat/>
    <w:rsid w:val="00456CD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72A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72ABE"/>
  </w:style>
  <w:style w:type="paragraph" w:styleId="a9">
    <w:name w:val="footer"/>
    <w:basedOn w:val="a"/>
    <w:link w:val="aa"/>
    <w:uiPriority w:val="99"/>
    <w:unhideWhenUsed/>
    <w:rsid w:val="00572A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72ABE"/>
  </w:style>
  <w:style w:type="paragraph" w:styleId="ab">
    <w:name w:val="Quote"/>
    <w:basedOn w:val="a"/>
    <w:next w:val="a"/>
    <w:link w:val="ac"/>
    <w:uiPriority w:val="29"/>
    <w:qFormat/>
    <w:rsid w:val="003716FD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ac">
    <w:name w:val="Цитація Знак"/>
    <w:basedOn w:val="a0"/>
    <w:link w:val="ab"/>
    <w:uiPriority w:val="29"/>
    <w:rsid w:val="003716FD"/>
    <w:rPr>
      <w:rFonts w:ascii="Calibri" w:eastAsia="Calibri" w:hAnsi="Calibri" w:cs="Times New Roman"/>
      <w:i/>
      <w:iCs/>
      <w:color w:val="000000" w:themeColor="text1"/>
    </w:rPr>
  </w:style>
  <w:style w:type="paragraph" w:customStyle="1" w:styleId="Default">
    <w:name w:val="Default"/>
    <w:rsid w:val="00371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A31A7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A31A7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7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07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31675</Words>
  <Characters>18056</Characters>
  <Application>Microsoft Office Word</Application>
  <DocSecurity>0</DocSecurity>
  <Lines>150</Lines>
  <Paragraphs>99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ВАЛІГУРСЬКА ВАЛЕНТИНА МИХАЙЛІВНА</dc:creator>
  <cp:lastModifiedBy>User</cp:lastModifiedBy>
  <cp:revision>6</cp:revision>
  <cp:lastPrinted>2020-08-07T05:29:00Z</cp:lastPrinted>
  <dcterms:created xsi:type="dcterms:W3CDTF">2020-08-06T16:12:00Z</dcterms:created>
  <dcterms:modified xsi:type="dcterms:W3CDTF">2020-08-12T10:19:00Z</dcterms:modified>
</cp:coreProperties>
</file>