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3" w:rsidRPr="00C8166D" w:rsidRDefault="00F515C3" w:rsidP="00F515C3">
      <w:pPr>
        <w:widowControl/>
        <w:ind w:left="233" w:firstLine="5579"/>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ЗАТВЕРДЖЕНО</w:t>
      </w:r>
    </w:p>
    <w:p w:rsidR="00F515C3" w:rsidRDefault="00F515C3" w:rsidP="00F515C3">
      <w:pPr>
        <w:widowControl/>
        <w:ind w:left="233" w:firstLine="5579"/>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Наказ Міністерства фінансів </w:t>
      </w:r>
    </w:p>
    <w:p w:rsidR="00F515C3" w:rsidRDefault="00F515C3" w:rsidP="00F515C3">
      <w:pPr>
        <w:widowControl/>
        <w:ind w:left="233" w:firstLine="557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України</w:t>
      </w:r>
      <w:r w:rsidRPr="00C8166D">
        <w:rPr>
          <w:rFonts w:ascii="Times New Roman" w:hAnsi="Times New Roman" w:cs="Times New Roman"/>
          <w:color w:val="auto"/>
          <w:sz w:val="28"/>
          <w:szCs w:val="28"/>
          <w:lang w:eastAsia="ru-RU"/>
        </w:rPr>
        <w:t xml:space="preserve"> </w:t>
      </w:r>
    </w:p>
    <w:p w:rsidR="00F515C3" w:rsidRPr="00C8166D" w:rsidRDefault="00F515C3" w:rsidP="00F515C3">
      <w:pPr>
        <w:widowControl/>
        <w:ind w:left="233" w:firstLine="557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03 серпня </w:t>
      </w:r>
      <w:r w:rsidRPr="00C8166D">
        <w:rPr>
          <w:rFonts w:ascii="Times New Roman" w:hAnsi="Times New Roman" w:cs="Times New Roman"/>
          <w:color w:val="auto"/>
          <w:sz w:val="28"/>
          <w:szCs w:val="28"/>
          <w:lang w:eastAsia="ru-RU"/>
        </w:rPr>
        <w:t xml:space="preserve">2018 року № </w:t>
      </w:r>
      <w:r>
        <w:rPr>
          <w:rFonts w:ascii="Times New Roman" w:hAnsi="Times New Roman" w:cs="Times New Roman"/>
          <w:color w:val="auto"/>
          <w:sz w:val="28"/>
          <w:szCs w:val="28"/>
          <w:lang w:eastAsia="ru-RU"/>
        </w:rPr>
        <w:t>673</w:t>
      </w:r>
    </w:p>
    <w:p w:rsidR="00F515C3" w:rsidRDefault="00F515C3" w:rsidP="00F515C3">
      <w:pPr>
        <w:ind w:firstLine="709"/>
        <w:jc w:val="center"/>
        <w:outlineLvl w:val="0"/>
        <w:rPr>
          <w:rFonts w:ascii="Times New Roman" w:hAnsi="Times New Roman" w:cs="Times New Roman"/>
          <w:b/>
          <w:sz w:val="28"/>
          <w:szCs w:val="28"/>
        </w:rPr>
      </w:pPr>
    </w:p>
    <w:p w:rsidR="00F515C3" w:rsidRPr="00B61997" w:rsidRDefault="00F515C3" w:rsidP="00F515C3">
      <w:pPr>
        <w:ind w:firstLine="709"/>
        <w:jc w:val="center"/>
        <w:outlineLvl w:val="0"/>
        <w:rPr>
          <w:rFonts w:ascii="Times New Roman" w:hAnsi="Times New Roman" w:cs="Times New Roman"/>
          <w:b/>
          <w:sz w:val="28"/>
          <w:szCs w:val="28"/>
        </w:rPr>
      </w:pPr>
      <w:r w:rsidRPr="00B61997">
        <w:rPr>
          <w:rFonts w:ascii="Times New Roman" w:hAnsi="Times New Roman" w:cs="Times New Roman"/>
          <w:b/>
          <w:sz w:val="28"/>
          <w:szCs w:val="28"/>
        </w:rPr>
        <w:t xml:space="preserve">Узагальнююча податкова консультація </w:t>
      </w:r>
    </w:p>
    <w:p w:rsidR="00F515C3" w:rsidRPr="00B61997" w:rsidRDefault="00F515C3" w:rsidP="00F515C3">
      <w:pPr>
        <w:jc w:val="center"/>
        <w:rPr>
          <w:rFonts w:ascii="Times New Roman" w:hAnsi="Times New Roman" w:cs="Times New Roman"/>
          <w:b/>
          <w:sz w:val="28"/>
          <w:szCs w:val="28"/>
        </w:rPr>
      </w:pPr>
      <w:r w:rsidRPr="00B61997">
        <w:rPr>
          <w:rFonts w:ascii="Times New Roman" w:hAnsi="Times New Roman" w:cs="Times New Roman"/>
          <w:b/>
          <w:sz w:val="28"/>
          <w:szCs w:val="28"/>
        </w:rPr>
        <w:t>щодо особливостей оподаткування податком на додану вартість від’ємної різниці між ціною придбання (звичайною ціною) товару та ціною реалізації такого товару на експорт</w:t>
      </w:r>
    </w:p>
    <w:p w:rsidR="00F515C3" w:rsidRPr="00B61997" w:rsidRDefault="00F515C3" w:rsidP="00F515C3">
      <w:pPr>
        <w:jc w:val="center"/>
        <w:rPr>
          <w:rFonts w:ascii="Times New Roman" w:hAnsi="Times New Roman" w:cs="Times New Roman"/>
          <w:b/>
          <w:sz w:val="28"/>
          <w:szCs w:val="28"/>
        </w:rPr>
      </w:pPr>
    </w:p>
    <w:p w:rsidR="00F515C3" w:rsidRPr="00B61997" w:rsidRDefault="00F515C3" w:rsidP="00F515C3">
      <w:pPr>
        <w:pStyle w:val="a3"/>
        <w:spacing w:before="0" w:beforeAutospacing="0"/>
        <w:ind w:firstLine="709"/>
        <w:jc w:val="both"/>
        <w:outlineLvl w:val="0"/>
        <w:rPr>
          <w:b/>
          <w:sz w:val="28"/>
          <w:szCs w:val="28"/>
          <w:lang w:val="uk-UA"/>
        </w:rPr>
      </w:pPr>
      <w:r w:rsidRPr="00B61997">
        <w:rPr>
          <w:b/>
          <w:sz w:val="28"/>
          <w:szCs w:val="28"/>
          <w:lang w:val="uk-UA"/>
        </w:rPr>
        <w:t>Питання:</w:t>
      </w:r>
    </w:p>
    <w:p w:rsidR="00F515C3" w:rsidRPr="00B61997" w:rsidRDefault="00F515C3" w:rsidP="00F515C3">
      <w:pPr>
        <w:spacing w:after="100" w:afterAutospacing="1"/>
        <w:ind w:firstLine="709"/>
        <w:jc w:val="both"/>
        <w:outlineLvl w:val="0"/>
        <w:rPr>
          <w:rFonts w:ascii="Times New Roman" w:hAnsi="Times New Roman" w:cs="Times New Roman"/>
          <w:sz w:val="28"/>
          <w:szCs w:val="28"/>
        </w:rPr>
      </w:pPr>
      <w:r w:rsidRPr="00B61997">
        <w:rPr>
          <w:rFonts w:ascii="Times New Roman" w:hAnsi="Times New Roman" w:cs="Times New Roman"/>
          <w:sz w:val="28"/>
          <w:szCs w:val="28"/>
        </w:rPr>
        <w:t xml:space="preserve">За якою ставкою податку на додану вартість підлягає оподаткуванню </w:t>
      </w:r>
      <w:bookmarkStart w:id="0" w:name="_Hlk520114852"/>
      <w:r w:rsidRPr="00B61997">
        <w:rPr>
          <w:rFonts w:ascii="Times New Roman" w:hAnsi="Times New Roman" w:cs="Times New Roman"/>
          <w:sz w:val="28"/>
          <w:szCs w:val="28"/>
        </w:rPr>
        <w:t>від’ємна різниця між ціною придбання (звичайною ціною) товару та ціною реалізації такого товару на експорт</w:t>
      </w:r>
      <w:bookmarkEnd w:id="0"/>
      <w:r w:rsidRPr="00B61997">
        <w:rPr>
          <w:rFonts w:ascii="Times New Roman" w:hAnsi="Times New Roman" w:cs="Times New Roman"/>
          <w:sz w:val="28"/>
          <w:szCs w:val="28"/>
        </w:rPr>
        <w:t>?</w:t>
      </w:r>
    </w:p>
    <w:p w:rsidR="00F515C3" w:rsidRPr="00B61997" w:rsidRDefault="00F515C3" w:rsidP="00F515C3">
      <w:pPr>
        <w:spacing w:after="100" w:afterAutospacing="1"/>
        <w:ind w:firstLine="709"/>
        <w:jc w:val="both"/>
        <w:outlineLvl w:val="0"/>
        <w:rPr>
          <w:rFonts w:ascii="Times New Roman" w:hAnsi="Times New Roman" w:cs="Times New Roman"/>
          <w:b/>
          <w:sz w:val="28"/>
          <w:szCs w:val="28"/>
        </w:rPr>
      </w:pPr>
      <w:r w:rsidRPr="00B61997">
        <w:rPr>
          <w:rFonts w:ascii="Times New Roman" w:hAnsi="Times New Roman" w:cs="Times New Roman"/>
          <w:b/>
          <w:sz w:val="28"/>
          <w:szCs w:val="28"/>
        </w:rPr>
        <w:t>Відповідь:</w:t>
      </w:r>
    </w:p>
    <w:p w:rsidR="00F515C3" w:rsidRPr="00B61997" w:rsidRDefault="00F515C3" w:rsidP="00F515C3">
      <w:pPr>
        <w:spacing w:after="100" w:afterAutospacing="1"/>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Відповідно до підпункту «г» пункту 185.1 статті 185 Податкового кодексу України (далі – Кодекс), об'єктом оподаткування податком на додану вартість є операції платників податку з вивезення товарів за межі митної території України.</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 xml:space="preserve">Згідно з пунктом </w:t>
      </w:r>
      <w:bookmarkStart w:id="1" w:name="_Hlk520392855"/>
      <w:r w:rsidRPr="00B61997">
        <w:rPr>
          <w:rFonts w:ascii="Times New Roman" w:eastAsia="Calibri" w:hAnsi="Times New Roman" w:cs="Times New Roman"/>
          <w:sz w:val="28"/>
          <w:szCs w:val="28"/>
          <w:lang w:eastAsia="ar-SA"/>
        </w:rPr>
        <w:t xml:space="preserve">188.1 </w:t>
      </w:r>
      <w:bookmarkEnd w:id="1"/>
      <w:r w:rsidRPr="00B61997">
        <w:rPr>
          <w:rFonts w:ascii="Times New Roman" w:eastAsia="Calibri" w:hAnsi="Times New Roman" w:cs="Times New Roman"/>
          <w:sz w:val="28"/>
          <w:szCs w:val="28"/>
          <w:lang w:eastAsia="ar-SA"/>
        </w:rPr>
        <w:t>статті 188 Кодексу база оподаткування операцій з постачання товарів/послуг визначається виходячи з їх договірної вартості з урахуванням загальнодержавних податків та зборів (крім акцизного податку на реалізацію суб'єктами господарювання роздрібної торгівлі підакцизних товарів, збору на обов'язкове державне пенсійне страхування, що справляється з вартості послуг стільникового рухомого зв'язку, податку на додану вартість та акцизного податку на спирт етиловий, що використовується виробниками - суб'єктами господарювання для виробництва лікарських засобів, у тому числі компонентів крові і вироблених з них препаратів (крім лікарських засобів у вигляді бальзамів та еліксирів).</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При цьому база оподаткування операцій з постачання товарів/послуг не може бути нижче ціни придбання таких товарів/послуг, база оподаткування операцій з постачання самостійно виготовлених товарів/послуг не може бути нижче звичайних цін, а база оподаткування операцій з постачання необоротних активів не може бути нижче балансової (залишкової) вартості за даними бухгалтерського обліку,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за винятком:</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товарів (послуг), ціни на які підлягають державному регулюванню;</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газу, який постачається для потреб населення.</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 xml:space="preserve">До складу договірної (контрактної) вартості включаються будь-які </w:t>
      </w:r>
      <w:r w:rsidRPr="00B61997">
        <w:rPr>
          <w:rFonts w:ascii="Times New Roman" w:eastAsia="Calibri" w:hAnsi="Times New Roman" w:cs="Times New Roman"/>
          <w:sz w:val="28"/>
          <w:szCs w:val="28"/>
          <w:lang w:eastAsia="ar-SA"/>
        </w:rPr>
        <w:lastRenderedPageBreak/>
        <w:t>суми коштів, вартість матеріальних і нематеріальних активів, що передаються платнику податків безпосередньо покупцем або через будь-яку третю особу у зв'язку з компенсацією вартості товарів/послуг. До складу договірної (контрактної) вартості не включаються суми неустойки (штрафів та/або пені), три проценти річних та інфляційні, що отримані платником податку внаслідок невиконання або неналежного виконання договірних зобов'язань.</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 xml:space="preserve">До бази оподаткування включаються вартість товарів/послуг, які постачаються (за виключенням суми компенсації на покриття різниці між фактичними витратами та регульованими цінами (тарифами) у вигляді виробничої дотації з бюджету та/або суми відшкодування орендодавцю - бюджетній установі витрат на утримання наданого в оренду нерухомого майна, на комунальні послуги та на енергоносії), та вартість матеріальних і нематеріальних активів, що передаються платнику податків безпосередньо </w:t>
      </w:r>
      <w:proofErr w:type="spellStart"/>
      <w:r w:rsidRPr="00B61997">
        <w:rPr>
          <w:rFonts w:ascii="Times New Roman" w:eastAsia="Calibri" w:hAnsi="Times New Roman" w:cs="Times New Roman"/>
          <w:sz w:val="28"/>
          <w:szCs w:val="28"/>
          <w:lang w:eastAsia="ar-SA"/>
        </w:rPr>
        <w:t>отримувачем</w:t>
      </w:r>
      <w:proofErr w:type="spellEnd"/>
      <w:r w:rsidRPr="00B61997">
        <w:rPr>
          <w:rFonts w:ascii="Times New Roman" w:eastAsia="Calibri" w:hAnsi="Times New Roman" w:cs="Times New Roman"/>
          <w:sz w:val="28"/>
          <w:szCs w:val="28"/>
          <w:lang w:eastAsia="ar-SA"/>
        </w:rPr>
        <w:t xml:space="preserve"> товарів/послуг, поставлених таким платником податку.</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Слід зазначити, що під постачанням товарів розуміється будь-яка передача права на розпоряджання товарами як власника, у тому числі продаж, обмін чи дарування такого товару, а також постачання товарів за рішенням суду (підпункт 14.1.191 пункту 14.1 статті 14 Кодексу).</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У випадках, передбачених статтею 189 Кодексу, база оподаткування визначається з урахуванням положень статті 189 Кодексу.</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Згідно з пунктом 194.1 статті 194 Кодексу, операції, зазначені у статті 185 Кодексу, крім операцій, що не є об'єктом оподаткування, звільнених від оподаткування, та операцій, до яких застосовується нульова ставка та ставка 7 відсотків, оподатковуються за ставкою, зазначеною в підпункті «а» пункту 193.1 статті 193 Кодексу, яка є основною, тобто ставка 20 відсотків.</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 xml:space="preserve">За нульовою ставкою відповідно до підпункту «а» підпункту 195.1.1 пункту 195.1 статті 195 Кодексу оподатковуються операції з вивезення товарів за межі митної території України у митному режимі експорту. Товари вважаються вивезеними за межі митної території України, якщо їх вивезення підтверджене в порядку, визначеному Кабінетом Міністрів України, митною декларацією, оформленою відповідно до вимог Митного кодексу України. </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r w:rsidRPr="00B61997">
        <w:rPr>
          <w:rFonts w:ascii="Times New Roman" w:eastAsia="Calibri" w:hAnsi="Times New Roman" w:cs="Times New Roman"/>
          <w:sz w:val="28"/>
          <w:szCs w:val="28"/>
          <w:lang w:eastAsia="ar-SA"/>
        </w:rPr>
        <w:t xml:space="preserve">Таким чином, виходячи з норм Кодексу ставка податку застосовується в цілому до виду операції, яка здійснюється платником податку. Тому у разі здійснення операції з експорту товару за ціною нижче ціни придбання (звичайної ціни) такого товару, нульова ставка застосовується до такої операції в цілому, за умови підтвердження факту вивезення товарів у відповідному митному режимі належно оформленою митною декларацією. </w:t>
      </w: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p>
    <w:p w:rsidR="00F515C3" w:rsidRPr="00B61997" w:rsidRDefault="00F515C3" w:rsidP="00F515C3">
      <w:pPr>
        <w:spacing w:after="120"/>
        <w:ind w:firstLine="709"/>
        <w:jc w:val="both"/>
        <w:rPr>
          <w:rFonts w:ascii="Times New Roman" w:eastAsia="Calibri" w:hAnsi="Times New Roman" w:cs="Times New Roman"/>
          <w:sz w:val="28"/>
          <w:szCs w:val="28"/>
          <w:lang w:eastAsia="ar-SA"/>
        </w:rPr>
      </w:pPr>
    </w:p>
    <w:tbl>
      <w:tblPr>
        <w:tblW w:w="5000" w:type="pct"/>
        <w:tblCellSpacing w:w="22" w:type="dxa"/>
        <w:tblCellMar>
          <w:top w:w="30" w:type="dxa"/>
          <w:left w:w="30" w:type="dxa"/>
          <w:bottom w:w="30" w:type="dxa"/>
          <w:right w:w="30" w:type="dxa"/>
        </w:tblCellMar>
        <w:tblLook w:val="04A0"/>
      </w:tblPr>
      <w:tblGrid>
        <w:gridCol w:w="4751"/>
        <w:gridCol w:w="4752"/>
      </w:tblGrid>
      <w:tr w:rsidR="00F515C3" w:rsidRPr="00B61997" w:rsidTr="00040157">
        <w:trPr>
          <w:tblCellSpacing w:w="22" w:type="dxa"/>
        </w:trPr>
        <w:tc>
          <w:tcPr>
            <w:tcW w:w="2465" w:type="pct"/>
            <w:vAlign w:val="bottom"/>
            <w:hideMark/>
          </w:tcPr>
          <w:p w:rsidR="00F515C3" w:rsidRPr="00B61997" w:rsidRDefault="00F515C3" w:rsidP="00040157">
            <w:pPr>
              <w:jc w:val="both"/>
              <w:rPr>
                <w:rFonts w:ascii="Times New Roman" w:hAnsi="Times New Roman" w:cs="Times New Roman"/>
                <w:b/>
                <w:bCs/>
                <w:sz w:val="28"/>
                <w:szCs w:val="28"/>
              </w:rPr>
            </w:pPr>
            <w:r w:rsidRPr="00B61997">
              <w:rPr>
                <w:rFonts w:ascii="Times New Roman" w:hAnsi="Times New Roman" w:cs="Times New Roman"/>
                <w:b/>
                <w:bCs/>
                <w:sz w:val="28"/>
                <w:szCs w:val="28"/>
              </w:rPr>
              <w:t xml:space="preserve">В. о. директора Департаменту </w:t>
            </w:r>
          </w:p>
          <w:p w:rsidR="00F515C3" w:rsidRPr="00B61997" w:rsidRDefault="00F515C3" w:rsidP="00040157">
            <w:pPr>
              <w:jc w:val="both"/>
              <w:rPr>
                <w:rFonts w:ascii="Times New Roman" w:hAnsi="Times New Roman" w:cs="Times New Roman"/>
                <w:sz w:val="28"/>
                <w:szCs w:val="28"/>
              </w:rPr>
            </w:pPr>
            <w:r w:rsidRPr="00B61997">
              <w:rPr>
                <w:rFonts w:ascii="Times New Roman" w:hAnsi="Times New Roman" w:cs="Times New Roman"/>
                <w:b/>
                <w:bCs/>
                <w:sz w:val="28"/>
                <w:szCs w:val="28"/>
              </w:rPr>
              <w:t xml:space="preserve">податкової політики </w:t>
            </w:r>
          </w:p>
        </w:tc>
        <w:tc>
          <w:tcPr>
            <w:tcW w:w="2465" w:type="pct"/>
            <w:vAlign w:val="bottom"/>
            <w:hideMark/>
          </w:tcPr>
          <w:p w:rsidR="00F515C3" w:rsidRPr="00B61997" w:rsidRDefault="00F515C3" w:rsidP="00040157">
            <w:pPr>
              <w:ind w:firstLine="709"/>
              <w:jc w:val="right"/>
              <w:rPr>
                <w:rFonts w:ascii="Times New Roman" w:hAnsi="Times New Roman" w:cs="Times New Roman"/>
                <w:b/>
                <w:sz w:val="28"/>
                <w:szCs w:val="28"/>
              </w:rPr>
            </w:pPr>
            <w:r w:rsidRPr="00B61997">
              <w:rPr>
                <w:rFonts w:ascii="Times New Roman" w:hAnsi="Times New Roman" w:cs="Times New Roman"/>
                <w:b/>
                <w:sz w:val="28"/>
                <w:szCs w:val="28"/>
              </w:rPr>
              <w:t>В. П. Овчаренко</w:t>
            </w:r>
          </w:p>
        </w:tc>
      </w:tr>
    </w:tbl>
    <w:p w:rsidR="00A15D74" w:rsidRDefault="00A15D74"/>
    <w:sectPr w:rsidR="00A15D74" w:rsidSect="00F515C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F515C3"/>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4C4"/>
    <w:rsid w:val="000058C5"/>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5C2D"/>
    <w:rsid w:val="00025E29"/>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E2F"/>
    <w:rsid w:val="000341B3"/>
    <w:rsid w:val="000343BC"/>
    <w:rsid w:val="0003449A"/>
    <w:rsid w:val="00034799"/>
    <w:rsid w:val="0003492F"/>
    <w:rsid w:val="00034AC9"/>
    <w:rsid w:val="00034D2B"/>
    <w:rsid w:val="000352D5"/>
    <w:rsid w:val="00035CBC"/>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47E"/>
    <w:rsid w:val="000458B3"/>
    <w:rsid w:val="00045CC5"/>
    <w:rsid w:val="00046456"/>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CC4"/>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A16"/>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A43"/>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36D"/>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7402"/>
    <w:rsid w:val="000C7862"/>
    <w:rsid w:val="000C7A14"/>
    <w:rsid w:val="000C7B15"/>
    <w:rsid w:val="000C7E56"/>
    <w:rsid w:val="000C7FF0"/>
    <w:rsid w:val="000D0075"/>
    <w:rsid w:val="000D03C6"/>
    <w:rsid w:val="000D05FD"/>
    <w:rsid w:val="000D0611"/>
    <w:rsid w:val="000D09D9"/>
    <w:rsid w:val="000D0CCF"/>
    <w:rsid w:val="000D1185"/>
    <w:rsid w:val="000D12D0"/>
    <w:rsid w:val="000D14FD"/>
    <w:rsid w:val="000D188E"/>
    <w:rsid w:val="000D199D"/>
    <w:rsid w:val="000D1F6B"/>
    <w:rsid w:val="000D24AB"/>
    <w:rsid w:val="000D2920"/>
    <w:rsid w:val="000D2E65"/>
    <w:rsid w:val="000D2EE6"/>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A72"/>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949"/>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0F1D"/>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2B7"/>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496"/>
    <w:rsid w:val="001568CE"/>
    <w:rsid w:val="00156BA8"/>
    <w:rsid w:val="00156BEF"/>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29"/>
    <w:rsid w:val="00172FA3"/>
    <w:rsid w:val="0017305B"/>
    <w:rsid w:val="00173442"/>
    <w:rsid w:val="00173ACC"/>
    <w:rsid w:val="00173B01"/>
    <w:rsid w:val="00173BED"/>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194"/>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89A"/>
    <w:rsid w:val="001E6E72"/>
    <w:rsid w:val="001E76E0"/>
    <w:rsid w:val="001F045E"/>
    <w:rsid w:val="001F075C"/>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35E"/>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E5"/>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C6A"/>
    <w:rsid w:val="00286E2F"/>
    <w:rsid w:val="00287217"/>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5A"/>
    <w:rsid w:val="002B7782"/>
    <w:rsid w:val="002B7917"/>
    <w:rsid w:val="002B7BC1"/>
    <w:rsid w:val="002B7CF9"/>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2D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8DF"/>
    <w:rsid w:val="003409A3"/>
    <w:rsid w:val="00340C6A"/>
    <w:rsid w:val="00340DDF"/>
    <w:rsid w:val="00340F62"/>
    <w:rsid w:val="003412A4"/>
    <w:rsid w:val="003412FC"/>
    <w:rsid w:val="003415DE"/>
    <w:rsid w:val="00341B04"/>
    <w:rsid w:val="00341CEC"/>
    <w:rsid w:val="00341F44"/>
    <w:rsid w:val="00342249"/>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1D19"/>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680"/>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867"/>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08"/>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441"/>
    <w:rsid w:val="0041467D"/>
    <w:rsid w:val="00414725"/>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C2"/>
    <w:rsid w:val="00450FE1"/>
    <w:rsid w:val="00451260"/>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3CF"/>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82A"/>
    <w:rsid w:val="004C3880"/>
    <w:rsid w:val="004C38A1"/>
    <w:rsid w:val="004C3F2C"/>
    <w:rsid w:val="004C457B"/>
    <w:rsid w:val="004C4601"/>
    <w:rsid w:val="004C47E1"/>
    <w:rsid w:val="004C4BA5"/>
    <w:rsid w:val="004C4C46"/>
    <w:rsid w:val="004C4D0D"/>
    <w:rsid w:val="004C4D77"/>
    <w:rsid w:val="004C4E8A"/>
    <w:rsid w:val="004C5056"/>
    <w:rsid w:val="004C53C8"/>
    <w:rsid w:val="004C549C"/>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903"/>
    <w:rsid w:val="004D5AF5"/>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2E4"/>
    <w:rsid w:val="004E3899"/>
    <w:rsid w:val="004E46BF"/>
    <w:rsid w:val="004E4815"/>
    <w:rsid w:val="004E4A46"/>
    <w:rsid w:val="004E4BA2"/>
    <w:rsid w:val="004E4C1E"/>
    <w:rsid w:val="004E4CAD"/>
    <w:rsid w:val="004E5333"/>
    <w:rsid w:val="004E536E"/>
    <w:rsid w:val="004E574A"/>
    <w:rsid w:val="004E594F"/>
    <w:rsid w:val="004E5B16"/>
    <w:rsid w:val="004E5E09"/>
    <w:rsid w:val="004E5E54"/>
    <w:rsid w:val="004E64B0"/>
    <w:rsid w:val="004E6B4A"/>
    <w:rsid w:val="004E6C2C"/>
    <w:rsid w:val="004E6C4B"/>
    <w:rsid w:val="004F003A"/>
    <w:rsid w:val="004F0082"/>
    <w:rsid w:val="004F0183"/>
    <w:rsid w:val="004F0395"/>
    <w:rsid w:val="004F0A7D"/>
    <w:rsid w:val="004F0AE9"/>
    <w:rsid w:val="004F0D7C"/>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5090"/>
    <w:rsid w:val="0055598A"/>
    <w:rsid w:val="00555AB2"/>
    <w:rsid w:val="00555AD6"/>
    <w:rsid w:val="00555CF1"/>
    <w:rsid w:val="00555DC0"/>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550"/>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5ECD"/>
    <w:rsid w:val="0058601F"/>
    <w:rsid w:val="00586AAB"/>
    <w:rsid w:val="00587289"/>
    <w:rsid w:val="00587303"/>
    <w:rsid w:val="005875FA"/>
    <w:rsid w:val="00587FA6"/>
    <w:rsid w:val="005901DD"/>
    <w:rsid w:val="0059096F"/>
    <w:rsid w:val="005909B4"/>
    <w:rsid w:val="0059152C"/>
    <w:rsid w:val="00591DFA"/>
    <w:rsid w:val="00591F97"/>
    <w:rsid w:val="005927C6"/>
    <w:rsid w:val="0059280B"/>
    <w:rsid w:val="005929E4"/>
    <w:rsid w:val="00592A7F"/>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BC5"/>
    <w:rsid w:val="005B41BF"/>
    <w:rsid w:val="005B421B"/>
    <w:rsid w:val="005B4222"/>
    <w:rsid w:val="005B49D6"/>
    <w:rsid w:val="005B4B11"/>
    <w:rsid w:val="005B4C1F"/>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AEF"/>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2B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98"/>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6AE"/>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954"/>
    <w:rsid w:val="00643C2E"/>
    <w:rsid w:val="00643D10"/>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F0E"/>
    <w:rsid w:val="0066016D"/>
    <w:rsid w:val="006602AE"/>
    <w:rsid w:val="0066049E"/>
    <w:rsid w:val="006606A4"/>
    <w:rsid w:val="006610C3"/>
    <w:rsid w:val="006614ED"/>
    <w:rsid w:val="0066150B"/>
    <w:rsid w:val="006616A2"/>
    <w:rsid w:val="00661CB7"/>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24F"/>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8BA"/>
    <w:rsid w:val="006C79B3"/>
    <w:rsid w:val="006C7B83"/>
    <w:rsid w:val="006C7E21"/>
    <w:rsid w:val="006C7EB6"/>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9DA"/>
    <w:rsid w:val="006F5A30"/>
    <w:rsid w:val="006F5ACC"/>
    <w:rsid w:val="006F5C0C"/>
    <w:rsid w:val="006F601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CA7"/>
    <w:rsid w:val="00703269"/>
    <w:rsid w:val="007033AA"/>
    <w:rsid w:val="007038CA"/>
    <w:rsid w:val="007039EA"/>
    <w:rsid w:val="00703EA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AA4"/>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6D9D"/>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B87"/>
    <w:rsid w:val="00742C43"/>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7AC"/>
    <w:rsid w:val="00752A08"/>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1BE5"/>
    <w:rsid w:val="007B2158"/>
    <w:rsid w:val="007B218A"/>
    <w:rsid w:val="007B2230"/>
    <w:rsid w:val="007B226E"/>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4C3"/>
    <w:rsid w:val="007B6967"/>
    <w:rsid w:val="007B72C1"/>
    <w:rsid w:val="007B755C"/>
    <w:rsid w:val="007B758B"/>
    <w:rsid w:val="007B77A4"/>
    <w:rsid w:val="007B7B23"/>
    <w:rsid w:val="007B7BFA"/>
    <w:rsid w:val="007C02F2"/>
    <w:rsid w:val="007C1738"/>
    <w:rsid w:val="007C1C9D"/>
    <w:rsid w:val="007C20F5"/>
    <w:rsid w:val="007C241B"/>
    <w:rsid w:val="007C2459"/>
    <w:rsid w:val="007C26B8"/>
    <w:rsid w:val="007C2F7A"/>
    <w:rsid w:val="007C31E0"/>
    <w:rsid w:val="007C4033"/>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04"/>
    <w:rsid w:val="007D7268"/>
    <w:rsid w:val="007D77B7"/>
    <w:rsid w:val="007D7BC8"/>
    <w:rsid w:val="007D7BD8"/>
    <w:rsid w:val="007E0D08"/>
    <w:rsid w:val="007E1201"/>
    <w:rsid w:val="007E15B7"/>
    <w:rsid w:val="007E1C73"/>
    <w:rsid w:val="007E1D4B"/>
    <w:rsid w:val="007E21A3"/>
    <w:rsid w:val="007E2276"/>
    <w:rsid w:val="007E2308"/>
    <w:rsid w:val="007E242F"/>
    <w:rsid w:val="007E2564"/>
    <w:rsid w:val="007E28B8"/>
    <w:rsid w:val="007E3300"/>
    <w:rsid w:val="007E3406"/>
    <w:rsid w:val="007E3554"/>
    <w:rsid w:val="007E3BAB"/>
    <w:rsid w:val="007E3F5A"/>
    <w:rsid w:val="007E4211"/>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802"/>
    <w:rsid w:val="00836AC1"/>
    <w:rsid w:val="008373D9"/>
    <w:rsid w:val="00837511"/>
    <w:rsid w:val="00837995"/>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D8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AF"/>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750"/>
    <w:rsid w:val="0089083D"/>
    <w:rsid w:val="0089092A"/>
    <w:rsid w:val="008912AA"/>
    <w:rsid w:val="00891758"/>
    <w:rsid w:val="00891AB0"/>
    <w:rsid w:val="008923A1"/>
    <w:rsid w:val="00892C9B"/>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610"/>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49C"/>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A3"/>
    <w:rsid w:val="008F77DE"/>
    <w:rsid w:val="008F7B0A"/>
    <w:rsid w:val="008F7C94"/>
    <w:rsid w:val="009000AF"/>
    <w:rsid w:val="0090053C"/>
    <w:rsid w:val="00900922"/>
    <w:rsid w:val="00900BA6"/>
    <w:rsid w:val="00901150"/>
    <w:rsid w:val="0090143E"/>
    <w:rsid w:val="009018D8"/>
    <w:rsid w:val="00902969"/>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FC7"/>
    <w:rsid w:val="00911349"/>
    <w:rsid w:val="0091148C"/>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6DDA"/>
    <w:rsid w:val="00977864"/>
    <w:rsid w:val="00977EAB"/>
    <w:rsid w:val="009800CD"/>
    <w:rsid w:val="00980786"/>
    <w:rsid w:val="009808AF"/>
    <w:rsid w:val="00980C13"/>
    <w:rsid w:val="00981430"/>
    <w:rsid w:val="00981925"/>
    <w:rsid w:val="00981993"/>
    <w:rsid w:val="00981F55"/>
    <w:rsid w:val="00982750"/>
    <w:rsid w:val="009828BB"/>
    <w:rsid w:val="0098299E"/>
    <w:rsid w:val="00982A2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642"/>
    <w:rsid w:val="00990A59"/>
    <w:rsid w:val="00990B3C"/>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CDA"/>
    <w:rsid w:val="009A6A5D"/>
    <w:rsid w:val="009A7245"/>
    <w:rsid w:val="009A72BF"/>
    <w:rsid w:val="009A74F5"/>
    <w:rsid w:val="009A758B"/>
    <w:rsid w:val="009A75EA"/>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93A"/>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D61"/>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6E9B"/>
    <w:rsid w:val="00A074B7"/>
    <w:rsid w:val="00A0794F"/>
    <w:rsid w:val="00A079C6"/>
    <w:rsid w:val="00A07AE7"/>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5097"/>
    <w:rsid w:val="00A651FD"/>
    <w:rsid w:val="00A65253"/>
    <w:rsid w:val="00A65462"/>
    <w:rsid w:val="00A66410"/>
    <w:rsid w:val="00A66626"/>
    <w:rsid w:val="00A6697C"/>
    <w:rsid w:val="00A669A0"/>
    <w:rsid w:val="00A66FED"/>
    <w:rsid w:val="00A679AD"/>
    <w:rsid w:val="00A70141"/>
    <w:rsid w:val="00A70766"/>
    <w:rsid w:val="00A70CAD"/>
    <w:rsid w:val="00A70CEC"/>
    <w:rsid w:val="00A70DE8"/>
    <w:rsid w:val="00A7119F"/>
    <w:rsid w:val="00A71BE6"/>
    <w:rsid w:val="00A71EFF"/>
    <w:rsid w:val="00A71F44"/>
    <w:rsid w:val="00A72454"/>
    <w:rsid w:val="00A724DE"/>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6"/>
    <w:rsid w:val="00AA74FA"/>
    <w:rsid w:val="00AA7630"/>
    <w:rsid w:val="00AA78B9"/>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4DB"/>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504"/>
    <w:rsid w:val="00AE28DA"/>
    <w:rsid w:val="00AE29D1"/>
    <w:rsid w:val="00AE2B47"/>
    <w:rsid w:val="00AE2CAD"/>
    <w:rsid w:val="00AE2DE0"/>
    <w:rsid w:val="00AE2FE8"/>
    <w:rsid w:val="00AE33FD"/>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544"/>
    <w:rsid w:val="00B5567F"/>
    <w:rsid w:val="00B55857"/>
    <w:rsid w:val="00B5589C"/>
    <w:rsid w:val="00B55B07"/>
    <w:rsid w:val="00B5638B"/>
    <w:rsid w:val="00B56465"/>
    <w:rsid w:val="00B566AE"/>
    <w:rsid w:val="00B57353"/>
    <w:rsid w:val="00B57638"/>
    <w:rsid w:val="00B578A5"/>
    <w:rsid w:val="00B57969"/>
    <w:rsid w:val="00B60350"/>
    <w:rsid w:val="00B606EF"/>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F97"/>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935"/>
    <w:rsid w:val="00B91127"/>
    <w:rsid w:val="00B9136F"/>
    <w:rsid w:val="00B913B5"/>
    <w:rsid w:val="00B91DF1"/>
    <w:rsid w:val="00B92579"/>
    <w:rsid w:val="00B92945"/>
    <w:rsid w:val="00B92980"/>
    <w:rsid w:val="00B92A76"/>
    <w:rsid w:val="00B92B33"/>
    <w:rsid w:val="00B9305A"/>
    <w:rsid w:val="00B93264"/>
    <w:rsid w:val="00B933CF"/>
    <w:rsid w:val="00B93588"/>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A39"/>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04F"/>
    <w:rsid w:val="00BD242A"/>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098E"/>
    <w:rsid w:val="00C010C2"/>
    <w:rsid w:val="00C0123F"/>
    <w:rsid w:val="00C019E6"/>
    <w:rsid w:val="00C01C65"/>
    <w:rsid w:val="00C01FEB"/>
    <w:rsid w:val="00C0240C"/>
    <w:rsid w:val="00C0265E"/>
    <w:rsid w:val="00C028EB"/>
    <w:rsid w:val="00C02C48"/>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0D6D"/>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85E"/>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B26"/>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36C2D"/>
    <w:rsid w:val="00C36EF9"/>
    <w:rsid w:val="00C3754C"/>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12"/>
    <w:rsid w:val="00C437C5"/>
    <w:rsid w:val="00C4396E"/>
    <w:rsid w:val="00C43D6E"/>
    <w:rsid w:val="00C43FBF"/>
    <w:rsid w:val="00C44068"/>
    <w:rsid w:val="00C442DB"/>
    <w:rsid w:val="00C44CF2"/>
    <w:rsid w:val="00C45060"/>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6F6"/>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3666"/>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05"/>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E74"/>
    <w:rsid w:val="00C91E91"/>
    <w:rsid w:val="00C92040"/>
    <w:rsid w:val="00C92D7C"/>
    <w:rsid w:val="00C9346A"/>
    <w:rsid w:val="00C939DC"/>
    <w:rsid w:val="00C93C17"/>
    <w:rsid w:val="00C93C98"/>
    <w:rsid w:val="00C93DA1"/>
    <w:rsid w:val="00C9417E"/>
    <w:rsid w:val="00C94193"/>
    <w:rsid w:val="00C947C5"/>
    <w:rsid w:val="00C947FB"/>
    <w:rsid w:val="00C953E4"/>
    <w:rsid w:val="00C95B74"/>
    <w:rsid w:val="00C95B8E"/>
    <w:rsid w:val="00C96915"/>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A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F36"/>
    <w:rsid w:val="00CB41FC"/>
    <w:rsid w:val="00CB446B"/>
    <w:rsid w:val="00CB4841"/>
    <w:rsid w:val="00CB4C2D"/>
    <w:rsid w:val="00CB4C2E"/>
    <w:rsid w:val="00CB4D40"/>
    <w:rsid w:val="00CB4F42"/>
    <w:rsid w:val="00CB4F69"/>
    <w:rsid w:val="00CB52F2"/>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601"/>
    <w:rsid w:val="00CD0852"/>
    <w:rsid w:val="00CD0A98"/>
    <w:rsid w:val="00CD0AE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97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6738"/>
    <w:rsid w:val="00CE6F82"/>
    <w:rsid w:val="00CE712E"/>
    <w:rsid w:val="00CE73D5"/>
    <w:rsid w:val="00CE7648"/>
    <w:rsid w:val="00CE780D"/>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C74"/>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85B"/>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585"/>
    <w:rsid w:val="00D62905"/>
    <w:rsid w:val="00D6340E"/>
    <w:rsid w:val="00D63B69"/>
    <w:rsid w:val="00D63C01"/>
    <w:rsid w:val="00D63C66"/>
    <w:rsid w:val="00D63EF9"/>
    <w:rsid w:val="00D64134"/>
    <w:rsid w:val="00D641F1"/>
    <w:rsid w:val="00D64210"/>
    <w:rsid w:val="00D6490E"/>
    <w:rsid w:val="00D64EBA"/>
    <w:rsid w:val="00D6552C"/>
    <w:rsid w:val="00D65AB9"/>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0BF"/>
    <w:rsid w:val="00D7229F"/>
    <w:rsid w:val="00D725B0"/>
    <w:rsid w:val="00D72765"/>
    <w:rsid w:val="00D72A65"/>
    <w:rsid w:val="00D72AA5"/>
    <w:rsid w:val="00D72DCF"/>
    <w:rsid w:val="00D72FC2"/>
    <w:rsid w:val="00D73110"/>
    <w:rsid w:val="00D73A4D"/>
    <w:rsid w:val="00D73AB0"/>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ECC"/>
    <w:rsid w:val="00D80D13"/>
    <w:rsid w:val="00D815BC"/>
    <w:rsid w:val="00D81661"/>
    <w:rsid w:val="00D8177C"/>
    <w:rsid w:val="00D81A0C"/>
    <w:rsid w:val="00D81F53"/>
    <w:rsid w:val="00D821E5"/>
    <w:rsid w:val="00D825FA"/>
    <w:rsid w:val="00D82A71"/>
    <w:rsid w:val="00D82DB1"/>
    <w:rsid w:val="00D83288"/>
    <w:rsid w:val="00D83B6D"/>
    <w:rsid w:val="00D83D7D"/>
    <w:rsid w:val="00D8456E"/>
    <w:rsid w:val="00D84835"/>
    <w:rsid w:val="00D84C31"/>
    <w:rsid w:val="00D85131"/>
    <w:rsid w:val="00D8549F"/>
    <w:rsid w:val="00D8579E"/>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2A1"/>
    <w:rsid w:val="00D973AE"/>
    <w:rsid w:val="00D973E4"/>
    <w:rsid w:val="00D97B5F"/>
    <w:rsid w:val="00D97BEC"/>
    <w:rsid w:val="00DA0129"/>
    <w:rsid w:val="00DA0370"/>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27"/>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0864"/>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1D96"/>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79F"/>
    <w:rsid w:val="00E158E5"/>
    <w:rsid w:val="00E163FB"/>
    <w:rsid w:val="00E1644F"/>
    <w:rsid w:val="00E166BE"/>
    <w:rsid w:val="00E16CEB"/>
    <w:rsid w:val="00E16EF5"/>
    <w:rsid w:val="00E176EA"/>
    <w:rsid w:val="00E1777E"/>
    <w:rsid w:val="00E17A34"/>
    <w:rsid w:val="00E17BDF"/>
    <w:rsid w:val="00E17F7D"/>
    <w:rsid w:val="00E17F9F"/>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AA3"/>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192D"/>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3B"/>
    <w:rsid w:val="00E860CF"/>
    <w:rsid w:val="00E86280"/>
    <w:rsid w:val="00E86578"/>
    <w:rsid w:val="00E86748"/>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2A81"/>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DA8"/>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660"/>
    <w:rsid w:val="00EF5888"/>
    <w:rsid w:val="00EF6122"/>
    <w:rsid w:val="00EF6234"/>
    <w:rsid w:val="00EF6779"/>
    <w:rsid w:val="00EF6AA3"/>
    <w:rsid w:val="00EF70CE"/>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50B"/>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ED4"/>
    <w:rsid w:val="00F30F8B"/>
    <w:rsid w:val="00F31086"/>
    <w:rsid w:val="00F31951"/>
    <w:rsid w:val="00F31A56"/>
    <w:rsid w:val="00F31C71"/>
    <w:rsid w:val="00F32046"/>
    <w:rsid w:val="00F3282F"/>
    <w:rsid w:val="00F331D3"/>
    <w:rsid w:val="00F33378"/>
    <w:rsid w:val="00F33689"/>
    <w:rsid w:val="00F33A87"/>
    <w:rsid w:val="00F33A94"/>
    <w:rsid w:val="00F33E1F"/>
    <w:rsid w:val="00F33F29"/>
    <w:rsid w:val="00F341AE"/>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962"/>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5C3"/>
    <w:rsid w:val="00F5165F"/>
    <w:rsid w:val="00F51A3F"/>
    <w:rsid w:val="00F51B9F"/>
    <w:rsid w:val="00F51C6B"/>
    <w:rsid w:val="00F51E8E"/>
    <w:rsid w:val="00F529EA"/>
    <w:rsid w:val="00F52B0A"/>
    <w:rsid w:val="00F52E34"/>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435"/>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83C"/>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09"/>
    <w:rsid w:val="00FF2269"/>
    <w:rsid w:val="00FF25B9"/>
    <w:rsid w:val="00FF2C5A"/>
    <w:rsid w:val="00FF2DE7"/>
    <w:rsid w:val="00FF2DF4"/>
    <w:rsid w:val="00FF2E73"/>
    <w:rsid w:val="00FF2F8E"/>
    <w:rsid w:val="00FF3110"/>
    <w:rsid w:val="00FF315D"/>
    <w:rsid w:val="00FF3502"/>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5C3"/>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F515C3"/>
    <w:pPr>
      <w:widowControl/>
      <w:spacing w:before="100" w:beforeAutospacing="1" w:after="100" w:afterAutospacing="1"/>
    </w:pPr>
    <w:rPr>
      <w:rFonts w:ascii="Times New Roman" w:hAnsi="Times New Roman" w:cs="Times New Roman"/>
      <w:color w:val="auto"/>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4099</Characters>
  <Application>Microsoft Office Word</Application>
  <DocSecurity>0</DocSecurity>
  <Lines>34</Lines>
  <Paragraphs>9</Paragraphs>
  <ScaleCrop>false</ScaleCrop>
  <Company>Microsoft</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2018-08-30T11:07:00Z</dcterms:created>
  <dcterms:modified xsi:type="dcterms:W3CDTF">2018-08-30T11:08:00Z</dcterms:modified>
</cp:coreProperties>
</file>