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F203E2" w:rsidTr="003174A4">
        <w:trPr>
          <w:tblCellSpacing w:w="22" w:type="dxa"/>
        </w:trPr>
        <w:tc>
          <w:tcPr>
            <w:tcW w:w="5000" w:type="pct"/>
            <w:hideMark/>
          </w:tcPr>
          <w:p w:rsidR="00F203E2" w:rsidRDefault="00F203E2" w:rsidP="003174A4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16 листопада 2016 р. N 831</w:t>
            </w:r>
          </w:p>
        </w:tc>
      </w:tr>
    </w:tbl>
    <w:p w:rsidR="00F203E2" w:rsidRDefault="00F203E2" w:rsidP="00F203E2">
      <w:pPr>
        <w:pStyle w:val="a3"/>
        <w:jc w:val="both"/>
      </w:pPr>
      <w:r>
        <w:br w:type="textWrapping" w:clear="all"/>
      </w:r>
    </w:p>
    <w:p w:rsidR="00F203E2" w:rsidRDefault="00F203E2" w:rsidP="00F203E2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МЕТОДИКА</w:t>
      </w:r>
      <w:r>
        <w:rPr>
          <w:rFonts w:eastAsia="Times New Roman"/>
        </w:rPr>
        <w:br/>
        <w:t>нормативної грошової оцінки земель сільськогосподарського призначення</w:t>
      </w:r>
    </w:p>
    <w:bookmarkEnd w:id="0"/>
    <w:p w:rsidR="00F203E2" w:rsidRDefault="00F203E2" w:rsidP="00F203E2">
      <w:pPr>
        <w:pStyle w:val="a3"/>
        <w:jc w:val="both"/>
      </w:pPr>
      <w:r>
        <w:t>1. Нормативна грошова оцінка земель сільськогосподарського призначення проводиться окремо за сільськогосподарськими угіддями (ріллею, багаторічними насадженнями, сіножатями, пасовищами, перелогами) та несільськогосподарськими угіддями на землях сільськогосподарського призначення.</w:t>
      </w:r>
    </w:p>
    <w:p w:rsidR="00F203E2" w:rsidRDefault="00F203E2" w:rsidP="00F203E2">
      <w:pPr>
        <w:pStyle w:val="a3"/>
        <w:jc w:val="both"/>
      </w:pPr>
      <w:r>
        <w:t>2. Інформаційною базою для нормативної грошової оцінки земель сільськогосподарського призначення, у тому числі земель під господарськими будівлями і дворами, є відомості Державного земельного кадастру (кількісна і якісна характеристика земель, бонітування ґрунтів, економічна оцінка земель), документація із землеустрою.</w:t>
      </w:r>
    </w:p>
    <w:p w:rsidR="00F203E2" w:rsidRDefault="00F203E2" w:rsidP="00F203E2">
      <w:pPr>
        <w:pStyle w:val="a3"/>
        <w:jc w:val="both"/>
      </w:pPr>
      <w:r>
        <w:t xml:space="preserve">3. Нормативна грошова оцінка земель сільськогосподарського призначення визначається відповідно до нормативу капіталізованого рентного доходу на землях сільськогосподарського призначення природно-сільськогосподарських районів Автономної Республіки Крим, областей, мм. Києва та Севастополя згідно з додатком та показників бонітування ґрунтів шляхом складання шкал нормативної грошової оцінки </w:t>
      </w:r>
      <w:proofErr w:type="spellStart"/>
      <w:r>
        <w:t>агровиробничих</w:t>
      </w:r>
      <w:proofErr w:type="spellEnd"/>
      <w:r>
        <w:t xml:space="preserve"> груп ґрунтів природно-сільськогосподарських районів (для сільськогосподарських угідь).</w:t>
      </w:r>
    </w:p>
    <w:p w:rsidR="00F203E2" w:rsidRDefault="00F203E2" w:rsidP="00F203E2">
      <w:pPr>
        <w:pStyle w:val="a3"/>
        <w:jc w:val="both"/>
      </w:pPr>
      <w:r>
        <w:t xml:space="preserve">4. За результатами проведення нормативної грошової оцінки окремої земельної ділянки сільськогосподарського призначення територіальний орган </w:t>
      </w:r>
      <w:proofErr w:type="spellStart"/>
      <w:r>
        <w:t>Держгеокадастру</w:t>
      </w:r>
      <w:proofErr w:type="spellEnd"/>
      <w:r>
        <w:t xml:space="preserve"> через центр надання адміністративних послуг за місцезнаходженням земельної ділянки видає витяг з технічної документації про нормативну грошову оцінку земель у строк, що не перевищує трьох робочих днів з дати надходження відповідної заяви.</w:t>
      </w:r>
    </w:p>
    <w:p w:rsidR="00F203E2" w:rsidRDefault="00F203E2" w:rsidP="00F203E2">
      <w:pPr>
        <w:pStyle w:val="a3"/>
        <w:jc w:val="both"/>
      </w:pPr>
      <w:r>
        <w:t xml:space="preserve">У разі подання заяви в електронній формі витяг з технічної документації про нормативну грошову оцінку земельної ділянки або мотивована відмова у наданні такого витягу видаються </w:t>
      </w:r>
      <w:proofErr w:type="spellStart"/>
      <w:r>
        <w:t>Держгеокадастром</w:t>
      </w:r>
      <w:proofErr w:type="spellEnd"/>
      <w:r>
        <w:t xml:space="preserve"> в електронній формі технічними засобами телекомунікацій з накладенням кваліфікованого електронного підпису, а за бажанням заявника можуть також надаватися у паперовому вигляді.</w:t>
      </w:r>
    </w:p>
    <w:p w:rsidR="00F203E2" w:rsidRDefault="00F203E2" w:rsidP="00F203E2">
      <w:pPr>
        <w:pStyle w:val="a3"/>
        <w:jc w:val="right"/>
      </w:pPr>
      <w:r>
        <w:t>(пункт 4 доповнено абзацом згідно з постановою</w:t>
      </w:r>
      <w:r>
        <w:br/>
        <w:t> Кабінету Міністрів України від 05.06.2019 р. N 477)</w:t>
      </w:r>
    </w:p>
    <w:p w:rsidR="00F203E2" w:rsidRDefault="00F203E2" w:rsidP="00F203E2">
      <w:pPr>
        <w:pStyle w:val="a3"/>
        <w:jc w:val="both"/>
      </w:pPr>
      <w:r>
        <w:t xml:space="preserve">5. Складення шкал нормативної грошової оцінки </w:t>
      </w:r>
      <w:proofErr w:type="spellStart"/>
      <w:r>
        <w:t>агровиробничих</w:t>
      </w:r>
      <w:proofErr w:type="spellEnd"/>
      <w:r>
        <w:t xml:space="preserve"> груп ґрунтів сільськогосподарських угідь природно-сільськогосподарського району (ріллі, багаторічних насаджень, сіножатей, пасовищ, перелогів) здійснюється за формулою:</w:t>
      </w:r>
    </w:p>
    <w:p w:rsidR="00F203E2" w:rsidRDefault="00F203E2" w:rsidP="00F203E2">
      <w:pPr>
        <w:pStyle w:val="a3"/>
        <w:jc w:val="center"/>
      </w:pPr>
      <w:proofErr w:type="spellStart"/>
      <w:r>
        <w:rPr>
          <w:i/>
          <w:iCs/>
        </w:rPr>
        <w:t>Гагр</w:t>
      </w:r>
      <w:proofErr w:type="spellEnd"/>
      <w:r>
        <w:t xml:space="preserve"> = </w:t>
      </w:r>
      <w:r>
        <w:rPr>
          <w:i/>
          <w:iCs/>
        </w:rPr>
        <w:t>Гу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proofErr w:type="spellStart"/>
      <w:r>
        <w:rPr>
          <w:i/>
          <w:iCs/>
        </w:rPr>
        <w:t>Багр</w:t>
      </w:r>
      <w:proofErr w:type="spellEnd"/>
      <w:r>
        <w:t xml:space="preserve"> : </w:t>
      </w:r>
      <w:r>
        <w:rPr>
          <w:i/>
          <w:iCs/>
        </w:rPr>
        <w:t>Б</w:t>
      </w:r>
      <w:r>
        <w:t>,</w:t>
      </w:r>
    </w:p>
    <w:p w:rsidR="00F203E2" w:rsidRDefault="00F203E2" w:rsidP="00F203E2">
      <w:pPr>
        <w:pStyle w:val="a3"/>
        <w:jc w:val="both"/>
      </w:pPr>
      <w:r>
        <w:t xml:space="preserve">де </w:t>
      </w:r>
      <w:proofErr w:type="spellStart"/>
      <w:r>
        <w:rPr>
          <w:i/>
          <w:iCs/>
        </w:rPr>
        <w:t>Гагр</w:t>
      </w:r>
      <w:proofErr w:type="spellEnd"/>
      <w:r>
        <w:t xml:space="preserve"> - нормативна грошова оцінка </w:t>
      </w:r>
      <w:proofErr w:type="spellStart"/>
      <w:r>
        <w:t>агровиробничої</w:t>
      </w:r>
      <w:proofErr w:type="spellEnd"/>
      <w:r>
        <w:t xml:space="preserve"> групи ґрунтів відповідного сільськогосподарського угіддя природно-сільськогосподарського району, гривень за гектар;</w:t>
      </w:r>
    </w:p>
    <w:p w:rsidR="00F203E2" w:rsidRDefault="00F203E2" w:rsidP="00F203E2">
      <w:pPr>
        <w:pStyle w:val="a3"/>
        <w:jc w:val="both"/>
      </w:pPr>
      <w:r>
        <w:rPr>
          <w:i/>
          <w:iCs/>
        </w:rPr>
        <w:t>Гу</w:t>
      </w:r>
      <w:r>
        <w:t xml:space="preserve"> - норматив капіталізованого рентного доходу відповідного сільськогосподарського угіддя природно-сільськогосподарського району Автономної Республіки Крим, області, мм. Києва та Севастополя, гривень за гектар;</w:t>
      </w:r>
    </w:p>
    <w:p w:rsidR="00F203E2" w:rsidRDefault="00F203E2" w:rsidP="00F203E2">
      <w:pPr>
        <w:pStyle w:val="a3"/>
        <w:jc w:val="both"/>
      </w:pPr>
      <w:proofErr w:type="spellStart"/>
      <w:r>
        <w:rPr>
          <w:i/>
          <w:iCs/>
        </w:rPr>
        <w:t>Багр</w:t>
      </w:r>
      <w:proofErr w:type="spellEnd"/>
      <w:r>
        <w:t xml:space="preserve"> - бал бонітету </w:t>
      </w:r>
      <w:proofErr w:type="spellStart"/>
      <w:r>
        <w:t>агровиробничої</w:t>
      </w:r>
      <w:proofErr w:type="spellEnd"/>
      <w:r>
        <w:t xml:space="preserve"> групи ґрунтів відповідного сільськогосподарського угіддя природно-сільськогосподарського району;</w:t>
      </w:r>
    </w:p>
    <w:p w:rsidR="00F203E2" w:rsidRDefault="00F203E2" w:rsidP="00F203E2">
      <w:pPr>
        <w:pStyle w:val="a3"/>
        <w:jc w:val="both"/>
      </w:pPr>
      <w:r>
        <w:rPr>
          <w:i/>
          <w:iCs/>
        </w:rPr>
        <w:t>Б</w:t>
      </w:r>
      <w:r>
        <w:t xml:space="preserve"> - середній бал бонітету ґрунтів відповідного сільськогосподарського угіддя природно-сільськогосподарського району Автономної Республіки Крим, області, мм. Києва та Севастополя.</w:t>
      </w:r>
    </w:p>
    <w:p w:rsidR="00F203E2" w:rsidRDefault="00F203E2" w:rsidP="00F203E2">
      <w:pPr>
        <w:pStyle w:val="a3"/>
        <w:jc w:val="both"/>
      </w:pPr>
      <w:r>
        <w:t>6. Нормативна грошова оцінка окремої земельної ділянки сільськогосподарського призначення здійснюється за формулою:</w:t>
      </w:r>
    </w:p>
    <w:p w:rsidR="00F203E2" w:rsidRDefault="00F203E2" w:rsidP="00F203E2">
      <w:pPr>
        <w:pStyle w:val="a3"/>
        <w:jc w:val="center"/>
      </w:pPr>
      <w:proofErr w:type="spellStart"/>
      <w:r>
        <w:rPr>
          <w:i/>
          <w:iCs/>
        </w:rPr>
        <w:t>Гзд</w:t>
      </w:r>
      <w:proofErr w:type="spellEnd"/>
      <w:r>
        <w:t xml:space="preserve"> = </w:t>
      </w:r>
      <w:r>
        <w:rPr>
          <w:rFonts w:ascii="Symbol" w:hAnsi="Symbol"/>
        </w:rPr>
        <w:t></w:t>
      </w:r>
      <w:r>
        <w:t xml:space="preserve"> (</w:t>
      </w:r>
      <w:proofErr w:type="spellStart"/>
      <w:r>
        <w:rPr>
          <w:i/>
          <w:iCs/>
        </w:rPr>
        <w:t>Пагр</w:t>
      </w:r>
      <w:proofErr w:type="spellEnd"/>
      <w:r>
        <w:rPr>
          <w:i/>
          <w:iCs/>
        </w:rPr>
        <w:t xml:space="preserve"> </w:t>
      </w:r>
      <w:r>
        <w:rPr>
          <w:rFonts w:ascii="Symbol" w:hAnsi="Symbol"/>
        </w:rPr>
        <w:t>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Гагр</w:t>
      </w:r>
      <w:proofErr w:type="spellEnd"/>
      <w:r>
        <w:t xml:space="preserve">) </w:t>
      </w:r>
      <w:r>
        <w:rPr>
          <w:i/>
          <w:iCs/>
        </w:rPr>
        <w:t xml:space="preserve">+ </w:t>
      </w:r>
      <w:proofErr w:type="spellStart"/>
      <w:r>
        <w:rPr>
          <w:i/>
          <w:iCs/>
        </w:rPr>
        <w:t>Пнсг</w:t>
      </w:r>
      <w:proofErr w:type="spellEnd"/>
      <w:r>
        <w:rPr>
          <w:i/>
          <w:iCs/>
        </w:rPr>
        <w:t xml:space="preserve"> </w:t>
      </w:r>
      <w:r>
        <w:rPr>
          <w:rFonts w:ascii="Symbol" w:hAnsi="Symbol"/>
        </w:rPr>
        <w:t>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Гнсг</w:t>
      </w:r>
      <w:proofErr w:type="spellEnd"/>
      <w:r>
        <w:rPr>
          <w:i/>
          <w:iCs/>
        </w:rPr>
        <w:t>,</w:t>
      </w:r>
    </w:p>
    <w:p w:rsidR="00F203E2" w:rsidRDefault="00F203E2" w:rsidP="00F203E2">
      <w:pPr>
        <w:pStyle w:val="a3"/>
        <w:jc w:val="both"/>
      </w:pPr>
      <w:r>
        <w:t xml:space="preserve">де </w:t>
      </w:r>
      <w:proofErr w:type="spellStart"/>
      <w:r>
        <w:rPr>
          <w:i/>
          <w:iCs/>
        </w:rPr>
        <w:t>Гзд</w:t>
      </w:r>
      <w:proofErr w:type="spellEnd"/>
      <w:r>
        <w:t xml:space="preserve"> - нормативна грошова оцінка земельної ділянки сільськогосподарського призначення, гривень;</w:t>
      </w:r>
    </w:p>
    <w:p w:rsidR="00F203E2" w:rsidRDefault="00F203E2" w:rsidP="00F203E2">
      <w:pPr>
        <w:pStyle w:val="a3"/>
        <w:jc w:val="both"/>
      </w:pPr>
      <w:proofErr w:type="spellStart"/>
      <w:r>
        <w:rPr>
          <w:i/>
          <w:iCs/>
        </w:rPr>
        <w:t>Пагр</w:t>
      </w:r>
      <w:proofErr w:type="spellEnd"/>
      <w:r>
        <w:t xml:space="preserve"> - площа </w:t>
      </w:r>
      <w:proofErr w:type="spellStart"/>
      <w:r>
        <w:t>агровиробничої</w:t>
      </w:r>
      <w:proofErr w:type="spellEnd"/>
      <w:r>
        <w:t xml:space="preserve"> групи ґрунтів сільськогосподарського угіддя, гектарів;</w:t>
      </w:r>
    </w:p>
    <w:p w:rsidR="00F203E2" w:rsidRDefault="00F203E2" w:rsidP="00F203E2">
      <w:pPr>
        <w:pStyle w:val="a3"/>
        <w:jc w:val="both"/>
      </w:pPr>
      <w:proofErr w:type="spellStart"/>
      <w:r>
        <w:rPr>
          <w:i/>
          <w:iCs/>
        </w:rPr>
        <w:t>Пнсг</w:t>
      </w:r>
      <w:proofErr w:type="spellEnd"/>
      <w:r>
        <w:t xml:space="preserve"> - площа несільськогосподарських угідь (земель під господарськими шляхами і прогонами, полезахисними лісовими смугами та іншими захисними насадженнями, крім тих, що віднесені до земель лісогосподарського призначення, земель під господарськими будівлями і дворами, земель під інфраструктурою оптових ринків сільськогосподарської продукції, земель тимчасової консервації тощо), гектарів;</w:t>
      </w:r>
    </w:p>
    <w:p w:rsidR="00F203E2" w:rsidRDefault="00F203E2" w:rsidP="00F203E2">
      <w:pPr>
        <w:pStyle w:val="a3"/>
        <w:jc w:val="both"/>
      </w:pPr>
      <w:proofErr w:type="spellStart"/>
      <w:r>
        <w:rPr>
          <w:i/>
          <w:iCs/>
        </w:rPr>
        <w:t>Гнсг</w:t>
      </w:r>
      <w:proofErr w:type="spellEnd"/>
      <w:r>
        <w:t xml:space="preserve"> - норматив капіталізованого рентного доходу несільськогосподарських угідь на землях сільськогосподарського призначення, гривень за гектар.</w:t>
      </w:r>
    </w:p>
    <w:p w:rsidR="00F203E2" w:rsidRDefault="00F203E2" w:rsidP="00F203E2">
      <w:pPr>
        <w:pStyle w:val="a3"/>
        <w:jc w:val="both"/>
      </w:pPr>
      <w:r>
        <w:t xml:space="preserve">7. У разі коли </w:t>
      </w:r>
      <w:proofErr w:type="spellStart"/>
      <w:r>
        <w:t>агровиробничі</w:t>
      </w:r>
      <w:proofErr w:type="spellEnd"/>
      <w:r>
        <w:t xml:space="preserve"> групи ґрунтів сільськогосподарських угідь на земельній ділянці сільськогосподарського призначення не визначено, застосовується норматив капіталізованого рентного доходу відповідного сільськогосподарського угіддя природно-сільськогосподарського району Автономної Республіки Крим, області, мм. Києва та Севастополя згідно з додатком.</w:t>
      </w:r>
    </w:p>
    <w:p w:rsidR="00F203E2" w:rsidRDefault="00F203E2" w:rsidP="00F203E2">
      <w:pPr>
        <w:pStyle w:val="a3"/>
        <w:jc w:val="both"/>
      </w:pPr>
      <w:r>
        <w:t>У разі коли у природно-сільськогосподарському районі відсутні матеріали бонітування ґрунтів та/або норматив капіталізованого рентного доходу відповідного сільськогосподарського угіддя в такому природно-сільськогосподарському районі застосовується норматив капіталізованого рентного доходу відповідного сільськогосподарського угіддя Автономної Республіки Крим, області.</w:t>
      </w:r>
    </w:p>
    <w:p w:rsidR="00F203E2" w:rsidRDefault="00F203E2" w:rsidP="00F203E2">
      <w:pPr>
        <w:pStyle w:val="a3"/>
        <w:jc w:val="right"/>
      </w:pPr>
      <w:r>
        <w:t>(пункт 7 доповнено абзацом згідно з постановою</w:t>
      </w:r>
      <w:r>
        <w:br/>
        <w:t> Кабінету Міністрів України від 05.06.2019 р. N 477)</w:t>
      </w:r>
    </w:p>
    <w:p w:rsidR="00594E3A" w:rsidRDefault="00594E3A"/>
    <w:sectPr w:rsidR="00594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2"/>
    <w:rsid w:val="00594E3A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F20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3E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203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F203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3E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F20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2019-12-05T08:34:00Z</dcterms:created>
  <dcterms:modified xsi:type="dcterms:W3CDTF">2019-12-05T08:34:00Z</dcterms:modified>
</cp:coreProperties>
</file>