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2" w:rsidRPr="008F726B" w:rsidRDefault="00D44042" w:rsidP="00D44042">
      <w:pPr>
        <w:widowControl w:val="0"/>
        <w:jc w:val="center"/>
        <w:rPr>
          <w:b/>
          <w:caps/>
          <w:szCs w:val="28"/>
        </w:rPr>
      </w:pPr>
      <w:r w:rsidRPr="008F726B">
        <w:rPr>
          <w:b/>
          <w:caps/>
          <w:szCs w:val="28"/>
        </w:rPr>
        <w:t>Аналіз регуляторного впливу</w:t>
      </w:r>
    </w:p>
    <w:p w:rsidR="00D44042" w:rsidRPr="008F726B" w:rsidRDefault="00D44042" w:rsidP="00D44042">
      <w:pPr>
        <w:jc w:val="center"/>
        <w:rPr>
          <w:b/>
          <w:szCs w:val="28"/>
        </w:rPr>
      </w:pPr>
      <w:r w:rsidRPr="008F726B">
        <w:rPr>
          <w:b/>
          <w:szCs w:val="28"/>
        </w:rPr>
        <w:t xml:space="preserve">до проекту Закону України </w:t>
      </w:r>
      <w:r w:rsidR="00314A1E" w:rsidRPr="008F726B">
        <w:rPr>
          <w:b/>
          <w:szCs w:val="28"/>
        </w:rPr>
        <w:t>"</w:t>
      </w:r>
      <w:r w:rsidRPr="008F726B">
        <w:rPr>
          <w:b/>
          <w:szCs w:val="28"/>
        </w:rPr>
        <w:t>Про внесення змін до Митного кодексу України</w:t>
      </w:r>
      <w:r w:rsidR="00314A1E" w:rsidRPr="008F726B">
        <w:rPr>
          <w:b/>
          <w:szCs w:val="28"/>
        </w:rPr>
        <w:t xml:space="preserve"> щодо накладення стягнень у справах про порушення митних правил та виконання постанов у цих справах"</w:t>
      </w:r>
      <w:r w:rsidRPr="008F726B">
        <w:rPr>
          <w:b/>
          <w:szCs w:val="28"/>
        </w:rPr>
        <w:t xml:space="preserve"> </w:t>
      </w:r>
    </w:p>
    <w:p w:rsidR="00D44042" w:rsidRPr="008F726B" w:rsidRDefault="00D44042" w:rsidP="00D44042">
      <w:pPr>
        <w:pStyle w:val="a5"/>
        <w:widowControl w:val="0"/>
        <w:jc w:val="center"/>
        <w:rPr>
          <w:szCs w:val="28"/>
        </w:rPr>
      </w:pPr>
    </w:p>
    <w:p w:rsidR="00D44042" w:rsidRPr="008F726B" w:rsidRDefault="00D44042" w:rsidP="00980E75">
      <w:pPr>
        <w:widowControl w:val="0"/>
        <w:spacing w:before="120"/>
        <w:ind w:firstLine="709"/>
        <w:jc w:val="both"/>
        <w:rPr>
          <w:b/>
          <w:szCs w:val="28"/>
        </w:rPr>
      </w:pPr>
      <w:r w:rsidRPr="008F726B">
        <w:rPr>
          <w:b/>
          <w:szCs w:val="28"/>
        </w:rPr>
        <w:t>І. Визначення проблеми, яку передбачається розв’язати шляхом державного регулювання</w:t>
      </w:r>
    </w:p>
    <w:p w:rsidR="00D44042" w:rsidRPr="004345F3" w:rsidRDefault="00D44042" w:rsidP="00980E75">
      <w:pPr>
        <w:spacing w:before="120"/>
        <w:ind w:firstLine="709"/>
        <w:jc w:val="both"/>
        <w:rPr>
          <w:szCs w:val="28"/>
        </w:rPr>
      </w:pPr>
      <w:r w:rsidRPr="004345F3">
        <w:rPr>
          <w:b/>
          <w:szCs w:val="28"/>
        </w:rPr>
        <w:t>Опис проблеми</w:t>
      </w:r>
    </w:p>
    <w:p w:rsidR="00BE6444" w:rsidRPr="008F726B" w:rsidRDefault="00F20F8A" w:rsidP="002F49BF">
      <w:pPr>
        <w:spacing w:before="120" w:after="120"/>
        <w:ind w:firstLine="709"/>
        <w:jc w:val="both"/>
        <w:rPr>
          <w:color w:val="222222"/>
          <w:szCs w:val="28"/>
        </w:rPr>
      </w:pPr>
      <w:r w:rsidRPr="008F726B">
        <w:rPr>
          <w:color w:val="222222"/>
          <w:szCs w:val="28"/>
        </w:rPr>
        <w:t xml:space="preserve">Важливою функцією </w:t>
      </w:r>
      <w:r w:rsidR="00344146" w:rsidRPr="008F726B">
        <w:rPr>
          <w:color w:val="222222"/>
          <w:szCs w:val="28"/>
        </w:rPr>
        <w:t xml:space="preserve">органів доходів і зборів </w:t>
      </w:r>
      <w:r w:rsidRPr="008F726B">
        <w:rPr>
          <w:color w:val="222222"/>
          <w:szCs w:val="28"/>
        </w:rPr>
        <w:t xml:space="preserve">є </w:t>
      </w:r>
      <w:r w:rsidR="00344146" w:rsidRPr="008F726B">
        <w:rPr>
          <w:color w:val="222222"/>
          <w:szCs w:val="28"/>
        </w:rPr>
        <w:t>запобігання та протидія контрабанді та порушенням митних правил на митній території України та захист</w:t>
      </w:r>
      <w:r w:rsidRPr="008F726B">
        <w:rPr>
          <w:color w:val="222222"/>
          <w:szCs w:val="28"/>
        </w:rPr>
        <w:t xml:space="preserve"> економічних інтересів дер</w:t>
      </w:r>
      <w:r w:rsidR="00344146" w:rsidRPr="008F726B">
        <w:rPr>
          <w:color w:val="222222"/>
          <w:szCs w:val="28"/>
        </w:rPr>
        <w:t xml:space="preserve">жави від протиправних посягань. </w:t>
      </w:r>
    </w:p>
    <w:p w:rsidR="002F49BF" w:rsidRPr="002F49BF" w:rsidRDefault="002F49BF" w:rsidP="002F49BF">
      <w:pPr>
        <w:pStyle w:val="rvps2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F49BF">
        <w:rPr>
          <w:color w:val="000000"/>
          <w:sz w:val="28"/>
          <w:szCs w:val="28"/>
          <w:lang w:val="uk-UA"/>
        </w:rPr>
        <w:t xml:space="preserve">Підпунктом l </w:t>
      </w:r>
      <w:r w:rsidRPr="002F49BF">
        <w:rPr>
          <w:sz w:val="28"/>
          <w:szCs w:val="28"/>
          <w:lang w:val="uk-UA"/>
        </w:rPr>
        <w:t xml:space="preserve"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асоціацію), яка підписана 27 червня 2014 року та ратифікована Законом України від 16 вересня 2014 року № 1678-VII, визначено, що </w:t>
      </w:r>
      <w:r w:rsidRPr="002F49BF">
        <w:rPr>
          <w:color w:val="000000"/>
          <w:sz w:val="28"/>
          <w:szCs w:val="28"/>
          <w:lang w:val="uk-UA"/>
        </w:rPr>
        <w:t>Сторони забезпечать встановлення правил, які забезпечать, щоб будь-які штрафи, накладені за порушення митного законодавства або процедурних вимог, були пропорційними і недискримінаційними, а їх застосування не призводило до незаконних та невиправданих затримок.</w:t>
      </w:r>
    </w:p>
    <w:p w:rsidR="002F49BF" w:rsidRPr="002F49BF" w:rsidRDefault="002F49BF" w:rsidP="002F49BF">
      <w:pPr>
        <w:spacing w:before="120" w:after="120"/>
        <w:ind w:firstLine="709"/>
        <w:jc w:val="both"/>
        <w:rPr>
          <w:szCs w:val="28"/>
        </w:rPr>
      </w:pPr>
      <w:r w:rsidRPr="002F49BF">
        <w:rPr>
          <w:szCs w:val="28"/>
        </w:rPr>
        <w:t xml:space="preserve">Відповідно до статті 84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>Наближення законодавства у митній сфері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 xml:space="preserve"> Угоди про асоціацію поступове наближення до митного права ЄС, як це визначено в стандартах ЄС та міжнародних стандартах, здійснюватиметься згідно з додатком XV до цієї Угоди (Митний кодекс Співтовариства).</w:t>
      </w:r>
    </w:p>
    <w:p w:rsidR="002F49BF" w:rsidRPr="002F49BF" w:rsidRDefault="002F49BF" w:rsidP="002F49BF">
      <w:pPr>
        <w:spacing w:before="120" w:after="120"/>
        <w:ind w:firstLine="709"/>
        <w:jc w:val="both"/>
      </w:pPr>
      <w:r w:rsidRPr="002F49BF">
        <w:t>Частиною першою статт</w:t>
      </w:r>
      <w:r w:rsidR="004345F3">
        <w:t>і</w:t>
      </w:r>
      <w:r w:rsidRPr="002F49BF">
        <w:t xml:space="preserve"> 42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t>Накладення стягнень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t xml:space="preserve"> </w:t>
      </w:r>
      <w:r w:rsidRPr="002F49BF">
        <w:rPr>
          <w:szCs w:val="28"/>
        </w:rPr>
        <w:t>Митного кодексу Співтовариства</w:t>
      </w:r>
      <w:r w:rsidRPr="002F49BF">
        <w:t xml:space="preserve"> встановлено, що кожна країна-учасниця передбачає стягнення за невиконання митного законодавства. Такі стягнення є ефективними, </w:t>
      </w:r>
      <w:proofErr w:type="spellStart"/>
      <w:r w:rsidRPr="002F49BF">
        <w:t>співрозмірними</w:t>
      </w:r>
      <w:proofErr w:type="spellEnd"/>
      <w:r w:rsidRPr="002F49BF">
        <w:t xml:space="preserve"> та носять </w:t>
      </w:r>
      <w:proofErr w:type="spellStart"/>
      <w:r w:rsidRPr="002F49BF">
        <w:t>упереджувальний</w:t>
      </w:r>
      <w:proofErr w:type="spellEnd"/>
      <w:r w:rsidRPr="002F49BF">
        <w:t xml:space="preserve"> характер.</w:t>
      </w:r>
    </w:p>
    <w:p w:rsidR="002F49BF" w:rsidRPr="002F49BF" w:rsidRDefault="002F49BF" w:rsidP="002F49BF">
      <w:pPr>
        <w:pStyle w:val="a3"/>
        <w:spacing w:before="120"/>
        <w:ind w:firstLine="720"/>
        <w:rPr>
          <w:color w:val="000000"/>
          <w:szCs w:val="28"/>
        </w:rPr>
      </w:pPr>
      <w:r w:rsidRPr="002F49BF">
        <w:rPr>
          <w:color w:val="000000"/>
          <w:szCs w:val="28"/>
        </w:rPr>
        <w:t xml:space="preserve">Крім того, підпунктом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>і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 xml:space="preserve"> статті 76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>Законодавство та процедури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 xml:space="preserve"> Угоди про асоціацію передбачено вжиття необхідних заходів для відображення та виконання положень переглянутої Міжнародної конвенції про спрощення та гармонізацію митних процедур 1973 року.</w:t>
      </w:r>
    </w:p>
    <w:p w:rsidR="002F49BF" w:rsidRPr="008306C1" w:rsidRDefault="002F49BF" w:rsidP="002F49BF">
      <w:pPr>
        <w:spacing w:before="120"/>
        <w:ind w:firstLine="720"/>
        <w:jc w:val="both"/>
        <w:rPr>
          <w:color w:val="000000"/>
          <w:szCs w:val="28"/>
        </w:rPr>
      </w:pPr>
      <w:r w:rsidRPr="002F49BF">
        <w:rPr>
          <w:color w:val="000000"/>
          <w:szCs w:val="28"/>
        </w:rPr>
        <w:t xml:space="preserve">Згідно зі стандартним правилом 4 Розділу 1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>Митні правопорушення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 xml:space="preserve">  Спеціального додатка H до Міжнародної конвенції  про спрощення і гармонізацію митних процедур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color w:val="000000"/>
          <w:szCs w:val="28"/>
        </w:rPr>
        <w:t>адміністративне врег</w:t>
      </w:r>
      <w:r w:rsidR="00E85488">
        <w:rPr>
          <w:color w:val="000000"/>
          <w:szCs w:val="28"/>
        </w:rPr>
        <w:t>улювання митного правопорушення</w:t>
      </w:r>
      <w:r w:rsidR="00E85488" w:rsidRPr="008F726B">
        <w:rPr>
          <w:color w:val="000000"/>
          <w:szCs w:val="28"/>
          <w:lang w:eastAsia="uk-UA"/>
        </w:rPr>
        <w:t>"</w:t>
      </w:r>
      <w:r w:rsidR="004345F3">
        <w:rPr>
          <w:color w:val="000000"/>
          <w:szCs w:val="28"/>
        </w:rPr>
        <w:t>, укладеної</w:t>
      </w:r>
      <w:r w:rsidRPr="002F49BF">
        <w:rPr>
          <w:color w:val="000000"/>
          <w:szCs w:val="28"/>
        </w:rPr>
        <w:t xml:space="preserve"> 18 травня 1973 року (Конвенція Кіото) (</w:t>
      </w:r>
      <w:proofErr w:type="spellStart"/>
      <w:r w:rsidRPr="002F49BF">
        <w:rPr>
          <w:color w:val="000000"/>
          <w:szCs w:val="28"/>
        </w:rPr>
        <w:t>Official</w:t>
      </w:r>
      <w:proofErr w:type="spellEnd"/>
      <w:r w:rsidRPr="002F49BF">
        <w:rPr>
          <w:color w:val="000000"/>
          <w:szCs w:val="28"/>
        </w:rPr>
        <w:t xml:space="preserve"> </w:t>
      </w:r>
      <w:proofErr w:type="spellStart"/>
      <w:r w:rsidRPr="002F49BF">
        <w:rPr>
          <w:color w:val="000000"/>
          <w:szCs w:val="28"/>
        </w:rPr>
        <w:t>Journal</w:t>
      </w:r>
      <w:proofErr w:type="spellEnd"/>
      <w:r w:rsidRPr="002F49BF">
        <w:rPr>
          <w:color w:val="000000"/>
          <w:szCs w:val="28"/>
        </w:rPr>
        <w:t xml:space="preserve"> L100, 21.04.1975 р. 02 - 17) в редакції 1999 року – Рішення Ради 75/199/ЄС від 18 березня 1975 року (</w:t>
      </w:r>
      <w:proofErr w:type="spellStart"/>
      <w:r w:rsidRPr="002F49BF">
        <w:rPr>
          <w:color w:val="000000"/>
          <w:szCs w:val="28"/>
        </w:rPr>
        <w:t>Official</w:t>
      </w:r>
      <w:proofErr w:type="spellEnd"/>
      <w:r w:rsidRPr="002F49BF">
        <w:rPr>
          <w:color w:val="000000"/>
          <w:szCs w:val="28"/>
        </w:rPr>
        <w:t xml:space="preserve"> </w:t>
      </w:r>
      <w:proofErr w:type="spellStart"/>
      <w:r w:rsidRPr="002F49BF">
        <w:rPr>
          <w:color w:val="000000"/>
          <w:szCs w:val="28"/>
        </w:rPr>
        <w:t>Journal</w:t>
      </w:r>
      <w:proofErr w:type="spellEnd"/>
      <w:r w:rsidRPr="002F49BF">
        <w:rPr>
          <w:color w:val="000000"/>
          <w:szCs w:val="28"/>
        </w:rPr>
        <w:t xml:space="preserve"> L100, 21.04.1975 р. 01 - 01)</w:t>
      </w:r>
      <w:r w:rsidR="004345F3">
        <w:rPr>
          <w:color w:val="000000"/>
          <w:szCs w:val="28"/>
        </w:rPr>
        <w:t>,</w:t>
      </w:r>
      <w:r w:rsidRPr="002F49BF">
        <w:rPr>
          <w:color w:val="000000"/>
          <w:szCs w:val="28"/>
        </w:rPr>
        <w:t xml:space="preserve"> національне законодавство визначає термін, після закінчення якого процесуальні дії, пов'язані з митним порушенням, не можуть здійснюватись, та встановлює дату початку цього терміну.</w:t>
      </w:r>
      <w:r w:rsidRPr="008306C1">
        <w:rPr>
          <w:color w:val="000000"/>
          <w:szCs w:val="28"/>
        </w:rPr>
        <w:t xml:space="preserve"> </w:t>
      </w:r>
    </w:p>
    <w:p w:rsidR="002F49BF" w:rsidRDefault="002F49BF" w:rsidP="009571C7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</w:p>
    <w:p w:rsidR="002F49BF" w:rsidRPr="002F49BF" w:rsidRDefault="002F49BF" w:rsidP="002F49B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Проведений а</w:t>
      </w:r>
      <w:r w:rsidRPr="00107AA5">
        <w:rPr>
          <w:szCs w:val="28"/>
        </w:rPr>
        <w:t>наліз правоохоронної діяльності свідчить про те, що з року в рік набува</w:t>
      </w:r>
      <w:r>
        <w:rPr>
          <w:szCs w:val="28"/>
        </w:rPr>
        <w:t>ють</w:t>
      </w:r>
      <w:r w:rsidRPr="00107AA5">
        <w:rPr>
          <w:szCs w:val="28"/>
        </w:rPr>
        <w:t xml:space="preserve"> поширення факти порушення особами вимог митного законодавства при ввезенні на митну територію України транспортних засобів</w:t>
      </w:r>
      <w:r w:rsidR="004345F3">
        <w:rPr>
          <w:szCs w:val="28"/>
        </w:rPr>
        <w:t xml:space="preserve"> у</w:t>
      </w:r>
      <w:r w:rsidRPr="00107AA5">
        <w:rPr>
          <w:szCs w:val="28"/>
        </w:rPr>
        <w:t xml:space="preserve"> режим</w:t>
      </w:r>
      <w:r w:rsidR="004345F3">
        <w:rPr>
          <w:szCs w:val="28"/>
        </w:rPr>
        <w:t>ах</w:t>
      </w:r>
      <w:r w:rsidRPr="00107AA5">
        <w:rPr>
          <w:szCs w:val="28"/>
        </w:rPr>
        <w:t xml:space="preserve"> </w:t>
      </w:r>
      <w:r w:rsidR="00E85488" w:rsidRPr="008F726B">
        <w:rPr>
          <w:color w:val="000000"/>
          <w:szCs w:val="28"/>
          <w:lang w:eastAsia="uk-UA"/>
        </w:rPr>
        <w:t>"</w:t>
      </w:r>
      <w:r w:rsidRPr="00107AA5">
        <w:rPr>
          <w:szCs w:val="28"/>
        </w:rPr>
        <w:t>транзит</w:t>
      </w:r>
      <w:r w:rsidR="00E85488" w:rsidRPr="008F726B">
        <w:rPr>
          <w:color w:val="000000"/>
          <w:szCs w:val="28"/>
          <w:lang w:eastAsia="uk-UA"/>
        </w:rPr>
        <w:t>"</w:t>
      </w:r>
      <w:r w:rsidRPr="00107AA5">
        <w:rPr>
          <w:szCs w:val="28"/>
        </w:rPr>
        <w:t xml:space="preserve"> та </w:t>
      </w:r>
      <w:r w:rsidR="00E85488" w:rsidRPr="008F726B">
        <w:rPr>
          <w:color w:val="000000"/>
          <w:szCs w:val="28"/>
          <w:lang w:eastAsia="uk-UA"/>
        </w:rPr>
        <w:t>"</w:t>
      </w:r>
      <w:r w:rsidRPr="00107AA5">
        <w:rPr>
          <w:szCs w:val="28"/>
        </w:rPr>
        <w:t>тимчасове ввезення</w:t>
      </w:r>
      <w:r w:rsidR="00E85488" w:rsidRPr="008F726B">
        <w:rPr>
          <w:color w:val="000000"/>
          <w:szCs w:val="28"/>
          <w:lang w:eastAsia="uk-UA"/>
        </w:rPr>
        <w:t>"</w:t>
      </w:r>
      <w:r w:rsidRPr="00107AA5">
        <w:rPr>
          <w:szCs w:val="28"/>
        </w:rPr>
        <w:t>.</w:t>
      </w:r>
      <w:r w:rsidRPr="00024461">
        <w:rPr>
          <w:szCs w:val="28"/>
        </w:rPr>
        <w:t xml:space="preserve"> </w:t>
      </w:r>
      <w:r>
        <w:rPr>
          <w:szCs w:val="28"/>
        </w:rPr>
        <w:t xml:space="preserve">Відповідальність за недотримання строків </w:t>
      </w:r>
      <w:r w:rsidRPr="002F49BF">
        <w:rPr>
          <w:szCs w:val="28"/>
        </w:rPr>
        <w:t xml:space="preserve">ввезення транспортних засобів в митних режимах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>транзит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 xml:space="preserve"> та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>тимчасове ввезення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 xml:space="preserve"> передбачена відповідно статтями 470 та 481 Митного кодексу України (далі – </w:t>
      </w:r>
      <w:proofErr w:type="spellStart"/>
      <w:r w:rsidRPr="002F49BF">
        <w:rPr>
          <w:szCs w:val="28"/>
        </w:rPr>
        <w:t>МК</w:t>
      </w:r>
      <w:proofErr w:type="spellEnd"/>
      <w:r w:rsidRPr="002F49BF">
        <w:rPr>
          <w:szCs w:val="28"/>
        </w:rPr>
        <w:t xml:space="preserve"> України).</w:t>
      </w:r>
    </w:p>
    <w:p w:rsidR="002F49BF" w:rsidRPr="002F49BF" w:rsidRDefault="002F49BF" w:rsidP="002F49BF">
      <w:pPr>
        <w:ind w:firstLine="709"/>
        <w:jc w:val="both"/>
        <w:rPr>
          <w:szCs w:val="28"/>
        </w:rPr>
      </w:pPr>
      <w:r w:rsidRPr="002F49BF">
        <w:rPr>
          <w:szCs w:val="28"/>
        </w:rPr>
        <w:t>Так, уп</w:t>
      </w:r>
      <w:r w:rsidR="00482252">
        <w:rPr>
          <w:szCs w:val="28"/>
        </w:rPr>
        <w:t>родовж 2016 року за ознаками статті</w:t>
      </w:r>
      <w:r w:rsidRPr="002F49BF">
        <w:rPr>
          <w:szCs w:val="28"/>
        </w:rPr>
        <w:t xml:space="preserve"> 470 </w:t>
      </w:r>
      <w:proofErr w:type="spellStart"/>
      <w:r w:rsidRPr="002F49BF">
        <w:rPr>
          <w:szCs w:val="28"/>
        </w:rPr>
        <w:t>МК</w:t>
      </w:r>
      <w:proofErr w:type="spellEnd"/>
      <w:r w:rsidRPr="002F49BF">
        <w:rPr>
          <w:szCs w:val="28"/>
        </w:rPr>
        <w:t xml:space="preserve"> України складено </w:t>
      </w:r>
      <w:r w:rsidR="004345F3">
        <w:rPr>
          <w:szCs w:val="28"/>
        </w:rPr>
        <w:t xml:space="preserve">   </w:t>
      </w:r>
      <w:r w:rsidRPr="002F49BF">
        <w:rPr>
          <w:szCs w:val="28"/>
        </w:rPr>
        <w:t xml:space="preserve">10 949 протоколів про порушення митних правил, а за ознаками ст. 481 </w:t>
      </w:r>
      <w:proofErr w:type="spellStart"/>
      <w:r w:rsidRPr="002F49BF">
        <w:rPr>
          <w:szCs w:val="28"/>
        </w:rPr>
        <w:t>МК</w:t>
      </w:r>
      <w:proofErr w:type="spellEnd"/>
      <w:r w:rsidRPr="002F49BF">
        <w:rPr>
          <w:szCs w:val="28"/>
        </w:rPr>
        <w:t xml:space="preserve"> України – 1</w:t>
      </w:r>
      <w:r>
        <w:rPr>
          <w:szCs w:val="28"/>
        </w:rPr>
        <w:t> </w:t>
      </w:r>
      <w:r w:rsidRPr="002F49BF">
        <w:rPr>
          <w:szCs w:val="28"/>
        </w:rPr>
        <w:t>413.</w:t>
      </w:r>
    </w:p>
    <w:p w:rsidR="002F49BF" w:rsidRPr="00107AA5" w:rsidRDefault="002F49BF" w:rsidP="002F49BF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Однак с</w:t>
      </w:r>
      <w:r w:rsidRPr="00107AA5">
        <w:rPr>
          <w:szCs w:val="28"/>
        </w:rPr>
        <w:t xml:space="preserve">анкції ст.ст. 470, 481 </w:t>
      </w:r>
      <w:proofErr w:type="spellStart"/>
      <w:r w:rsidRPr="00107AA5">
        <w:rPr>
          <w:szCs w:val="28"/>
        </w:rPr>
        <w:t>МК</w:t>
      </w:r>
      <w:proofErr w:type="spellEnd"/>
      <w:r w:rsidRPr="00107AA5">
        <w:rPr>
          <w:szCs w:val="28"/>
        </w:rPr>
        <w:t xml:space="preserve"> України передбачають лише накладення штрафу</w:t>
      </w:r>
      <w:r>
        <w:rPr>
          <w:szCs w:val="28"/>
        </w:rPr>
        <w:t>. Оскільки правопорушник не може бути двічі притягнутий за одне і те саме правопорушення,</w:t>
      </w:r>
      <w:r w:rsidRPr="00107AA5">
        <w:rPr>
          <w:szCs w:val="28"/>
        </w:rPr>
        <w:t xml:space="preserve"> </w:t>
      </w:r>
      <w:r>
        <w:rPr>
          <w:szCs w:val="28"/>
        </w:rPr>
        <w:t xml:space="preserve">після сплати штрафу він фактично </w:t>
      </w:r>
      <w:r w:rsidRPr="00107AA5">
        <w:rPr>
          <w:szCs w:val="28"/>
        </w:rPr>
        <w:t>ма</w:t>
      </w:r>
      <w:r>
        <w:rPr>
          <w:szCs w:val="28"/>
        </w:rPr>
        <w:t>є</w:t>
      </w:r>
      <w:r w:rsidRPr="00107AA5">
        <w:rPr>
          <w:szCs w:val="28"/>
        </w:rPr>
        <w:t xml:space="preserve"> можливість і </w:t>
      </w:r>
      <w:r w:rsidRPr="002F49BF">
        <w:rPr>
          <w:szCs w:val="28"/>
        </w:rPr>
        <w:t>надалі користуватись транспортним засобом.  Механізми, які б примушували особ</w:t>
      </w:r>
      <w:r>
        <w:rPr>
          <w:szCs w:val="28"/>
        </w:rPr>
        <w:t>у вивезти такі транспортні засоби, на цей час відсутні</w:t>
      </w:r>
      <w:r w:rsidRPr="00107AA5">
        <w:rPr>
          <w:szCs w:val="28"/>
        </w:rPr>
        <w:t>.</w:t>
      </w:r>
    </w:p>
    <w:p w:rsidR="002F49BF" w:rsidRDefault="002F49BF" w:rsidP="002F49BF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З огляду на зазначене і</w:t>
      </w:r>
      <w:r w:rsidR="004345F3">
        <w:rPr>
          <w:szCs w:val="28"/>
        </w:rPr>
        <w:t>снує необхідність у</w:t>
      </w:r>
      <w:r w:rsidRPr="00107AA5">
        <w:rPr>
          <w:szCs w:val="28"/>
        </w:rPr>
        <w:t xml:space="preserve"> посиленні адміністративної відповідальності за такі правопорушення</w:t>
      </w:r>
      <w:r>
        <w:rPr>
          <w:szCs w:val="28"/>
        </w:rPr>
        <w:t xml:space="preserve"> (</w:t>
      </w:r>
      <w:r w:rsidRPr="00107AA5">
        <w:rPr>
          <w:szCs w:val="28"/>
        </w:rPr>
        <w:t>за умови відсутності обставин, які виключають можливість притягнення до такої відповідальності</w:t>
      </w:r>
      <w:r>
        <w:rPr>
          <w:szCs w:val="28"/>
        </w:rPr>
        <w:t>).</w:t>
      </w:r>
    </w:p>
    <w:p w:rsidR="00C53EF0" w:rsidRPr="008F726B" w:rsidRDefault="00C53EF0" w:rsidP="009571C7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8F726B">
        <w:rPr>
          <w:rFonts w:eastAsiaTheme="minorHAnsi"/>
          <w:szCs w:val="28"/>
          <w:lang w:eastAsia="en-US"/>
        </w:rPr>
        <w:t xml:space="preserve">Основним критерієм оцінки ефективності діяльності митниць </w:t>
      </w:r>
      <w:r w:rsidR="004345F3">
        <w:rPr>
          <w:rFonts w:eastAsiaTheme="minorHAnsi"/>
          <w:szCs w:val="28"/>
          <w:lang w:eastAsia="en-US"/>
        </w:rPr>
        <w:t>у</w:t>
      </w:r>
      <w:r w:rsidRPr="008F726B">
        <w:rPr>
          <w:rFonts w:eastAsiaTheme="minorHAnsi"/>
          <w:szCs w:val="28"/>
          <w:lang w:eastAsia="en-US"/>
        </w:rPr>
        <w:t xml:space="preserve"> напрямі запобіганн</w:t>
      </w:r>
      <w:r w:rsidR="004345F3">
        <w:rPr>
          <w:rFonts w:eastAsiaTheme="minorHAnsi"/>
          <w:szCs w:val="28"/>
          <w:lang w:eastAsia="en-US"/>
        </w:rPr>
        <w:t>я</w:t>
      </w:r>
      <w:r w:rsidRPr="008F726B">
        <w:rPr>
          <w:rFonts w:eastAsiaTheme="minorHAnsi"/>
          <w:szCs w:val="28"/>
          <w:lang w:eastAsia="en-US"/>
        </w:rPr>
        <w:t xml:space="preserve"> та протидії контрабанді та порушенням митних правил є притягнення винних осіб до відповідальності. Вказане досягається якісно зібраними доказами вчиненого правопорушення, а також справедливим та неупередженим розглядом справ про порушення митних правил</w:t>
      </w:r>
      <w:r w:rsidR="009571C7" w:rsidRPr="008F726B">
        <w:rPr>
          <w:rFonts w:eastAsiaTheme="minorHAnsi"/>
          <w:szCs w:val="28"/>
          <w:lang w:eastAsia="en-US"/>
        </w:rPr>
        <w:t xml:space="preserve"> (далі – ПМП)</w:t>
      </w:r>
      <w:r w:rsidRPr="008F726B">
        <w:rPr>
          <w:rFonts w:eastAsiaTheme="minorHAnsi"/>
          <w:szCs w:val="28"/>
          <w:lang w:eastAsia="en-US"/>
        </w:rPr>
        <w:t>.</w:t>
      </w:r>
    </w:p>
    <w:p w:rsidR="00C53EF0" w:rsidRPr="008F726B" w:rsidRDefault="00C53EF0" w:rsidP="00980E75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8F726B">
        <w:rPr>
          <w:rFonts w:eastAsiaTheme="minorHAnsi"/>
          <w:szCs w:val="28"/>
          <w:lang w:eastAsia="en-US"/>
        </w:rPr>
        <w:t>Відповідно до вимог ста</w:t>
      </w:r>
      <w:r w:rsidR="002F49BF">
        <w:rPr>
          <w:rFonts w:eastAsiaTheme="minorHAnsi"/>
          <w:szCs w:val="28"/>
          <w:lang w:eastAsia="en-US"/>
        </w:rPr>
        <w:t>тті 467 Митного кодексу України</w:t>
      </w:r>
      <w:r w:rsidRPr="008F726B">
        <w:rPr>
          <w:rFonts w:eastAsiaTheme="minorHAnsi"/>
          <w:szCs w:val="28"/>
          <w:lang w:eastAsia="en-US"/>
        </w:rPr>
        <w:t xml:space="preserve"> загальний строк накладення адміністративного стягнення за порушення митних правил становить шість місяців з дня вчи</w:t>
      </w:r>
      <w:r w:rsidR="00482252">
        <w:rPr>
          <w:rFonts w:eastAsiaTheme="minorHAnsi"/>
          <w:szCs w:val="28"/>
          <w:lang w:eastAsia="en-US"/>
        </w:rPr>
        <w:t>нення правопорушення. При цьому</w:t>
      </w:r>
      <w:r w:rsidRPr="008F726B">
        <w:rPr>
          <w:rFonts w:eastAsiaTheme="minorHAnsi"/>
          <w:szCs w:val="28"/>
          <w:lang w:eastAsia="en-US"/>
        </w:rPr>
        <w:t xml:space="preserve"> у разі розгляду органами доходів і зборів або судами справ про триваючі порушення митних правил, у тому числі передбачені статтями 469,</w:t>
      </w:r>
      <w:r w:rsidR="008D666F" w:rsidRPr="008F726B">
        <w:rPr>
          <w:rFonts w:eastAsiaTheme="minorHAnsi"/>
          <w:szCs w:val="28"/>
          <w:lang w:eastAsia="en-US"/>
        </w:rPr>
        <w:t xml:space="preserve"> 477 – </w:t>
      </w:r>
      <w:r w:rsidRPr="008F726B">
        <w:rPr>
          <w:rFonts w:eastAsiaTheme="minorHAnsi"/>
          <w:szCs w:val="28"/>
          <w:lang w:eastAsia="en-US"/>
        </w:rPr>
        <w:t xml:space="preserve">485 Кодексу, стягнення накладається не пізніше ніж через шість місяців з дня виявлення цих правопорушень. </w:t>
      </w:r>
    </w:p>
    <w:p w:rsidR="00C53EF0" w:rsidRPr="008F726B" w:rsidRDefault="002F49BF" w:rsidP="00E6537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C53EF0" w:rsidRPr="008F726B">
        <w:rPr>
          <w:rFonts w:eastAsiaTheme="minorHAnsi"/>
          <w:szCs w:val="28"/>
          <w:lang w:eastAsia="en-US"/>
        </w:rPr>
        <w:t xml:space="preserve">оширеною практикою </w:t>
      </w:r>
      <w:r w:rsidR="009571C7" w:rsidRPr="008F726B">
        <w:rPr>
          <w:rFonts w:eastAsiaTheme="minorHAnsi"/>
          <w:szCs w:val="28"/>
          <w:lang w:eastAsia="en-US"/>
        </w:rPr>
        <w:t xml:space="preserve">є </w:t>
      </w:r>
      <w:r w:rsidR="00C53EF0" w:rsidRPr="008F726B">
        <w:rPr>
          <w:rFonts w:eastAsiaTheme="minorHAnsi"/>
          <w:szCs w:val="28"/>
          <w:lang w:eastAsia="en-US"/>
        </w:rPr>
        <w:t>прийняття окремим</w:t>
      </w:r>
      <w:r w:rsidR="009571C7" w:rsidRPr="008F726B">
        <w:rPr>
          <w:rFonts w:eastAsiaTheme="minorHAnsi"/>
          <w:szCs w:val="28"/>
          <w:lang w:eastAsia="en-US"/>
        </w:rPr>
        <w:t>и</w:t>
      </w:r>
      <w:r w:rsidR="00C53EF0" w:rsidRPr="008F726B">
        <w:rPr>
          <w:rFonts w:eastAsiaTheme="minorHAnsi"/>
          <w:szCs w:val="28"/>
          <w:lang w:eastAsia="en-US"/>
        </w:rPr>
        <w:t xml:space="preserve"> судами рішень про закриття справ про </w:t>
      </w:r>
      <w:r w:rsidR="009571C7" w:rsidRPr="008F726B">
        <w:rPr>
          <w:rFonts w:eastAsiaTheme="minorHAnsi"/>
          <w:szCs w:val="28"/>
          <w:lang w:eastAsia="en-US"/>
        </w:rPr>
        <w:t>ПМП</w:t>
      </w:r>
      <w:r w:rsidR="004345F3">
        <w:rPr>
          <w:rFonts w:eastAsiaTheme="minorHAnsi"/>
          <w:szCs w:val="28"/>
          <w:lang w:eastAsia="en-US"/>
        </w:rPr>
        <w:t>, порушених</w:t>
      </w:r>
      <w:r w:rsidR="00C53EF0" w:rsidRPr="008F726B">
        <w:rPr>
          <w:rFonts w:eastAsiaTheme="minorHAnsi"/>
          <w:szCs w:val="28"/>
          <w:lang w:eastAsia="en-US"/>
        </w:rPr>
        <w:t xml:space="preserve"> на підставі матеріалів, отриманих у результаті взаємодії з ми</w:t>
      </w:r>
      <w:r w:rsidR="009571C7" w:rsidRPr="008F726B">
        <w:rPr>
          <w:rFonts w:eastAsiaTheme="minorHAnsi"/>
          <w:szCs w:val="28"/>
          <w:lang w:eastAsia="en-US"/>
        </w:rPr>
        <w:t>тними органами зарубіжних країн.</w:t>
      </w:r>
      <w:r w:rsidR="00C53EF0" w:rsidRPr="008F726B">
        <w:rPr>
          <w:rFonts w:eastAsiaTheme="minorHAnsi"/>
          <w:szCs w:val="28"/>
          <w:lang w:eastAsia="en-US"/>
        </w:rPr>
        <w:t xml:space="preserve"> </w:t>
      </w:r>
      <w:r w:rsidR="009571C7" w:rsidRPr="008F726B">
        <w:rPr>
          <w:rFonts w:eastAsiaTheme="minorHAnsi"/>
          <w:szCs w:val="28"/>
          <w:lang w:eastAsia="en-US"/>
        </w:rPr>
        <w:t>Таке рішення обґрунтовується</w:t>
      </w:r>
      <w:r w:rsidR="00C53EF0" w:rsidRPr="008F726B">
        <w:rPr>
          <w:rFonts w:eastAsiaTheme="minorHAnsi"/>
          <w:szCs w:val="28"/>
          <w:lang w:eastAsia="en-US"/>
        </w:rPr>
        <w:t xml:space="preserve"> тим, що між фактом незаконного переміщення товару та фактом виявлення правопорушення спливає строк, більше ніж 6 місяців, і такі правопорушення не можуть вважатись триваючими. </w:t>
      </w:r>
      <w:r w:rsidR="004345F3">
        <w:rPr>
          <w:rFonts w:eastAsiaTheme="minorHAnsi"/>
          <w:szCs w:val="28"/>
          <w:lang w:eastAsia="en-US"/>
        </w:rPr>
        <w:t>Отже</w:t>
      </w:r>
      <w:r w:rsidR="00C53EF0" w:rsidRPr="008F726B">
        <w:rPr>
          <w:rFonts w:eastAsiaTheme="minorHAnsi"/>
          <w:szCs w:val="28"/>
          <w:lang w:eastAsia="en-US"/>
        </w:rPr>
        <w:t xml:space="preserve">, існує проблема в притягненні до відповідальності осіб за вчинення таких правопорушень. </w:t>
      </w:r>
    </w:p>
    <w:p w:rsidR="009856E9" w:rsidRPr="002F49BF" w:rsidRDefault="009856E9" w:rsidP="009856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F49BF">
        <w:rPr>
          <w:rFonts w:ascii="Times New Roman CYR" w:hAnsi="Times New Roman CYR" w:cs="Times New Roman CYR"/>
          <w:szCs w:val="28"/>
        </w:rPr>
        <w:t>Зокрема, упродовж 2016 року за таких обставин прийнято рішення про закриття провадження в 97 спр</w:t>
      </w:r>
      <w:r w:rsidR="004345F3">
        <w:rPr>
          <w:rFonts w:ascii="Times New Roman CYR" w:hAnsi="Times New Roman CYR" w:cs="Times New Roman CYR"/>
          <w:szCs w:val="28"/>
        </w:rPr>
        <w:t>авах на суму майже 100 млн. гривень.</w:t>
      </w:r>
    </w:p>
    <w:p w:rsidR="00C53EF0" w:rsidRPr="008F726B" w:rsidRDefault="00C53EF0" w:rsidP="009856E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Cs w:val="28"/>
          <w:lang w:eastAsia="en-US"/>
        </w:rPr>
      </w:pPr>
      <w:r w:rsidRPr="008F726B">
        <w:rPr>
          <w:rFonts w:eastAsiaTheme="minorHAnsi"/>
          <w:szCs w:val="28"/>
          <w:lang w:eastAsia="en-US"/>
        </w:rPr>
        <w:t xml:space="preserve">Крім того, враховуючи тривалий час розгляду справ судами, </w:t>
      </w:r>
      <w:r w:rsidR="00C10125" w:rsidRPr="008F726B">
        <w:rPr>
          <w:rFonts w:eastAsiaTheme="minorHAnsi"/>
          <w:szCs w:val="28"/>
          <w:lang w:eastAsia="en-US"/>
        </w:rPr>
        <w:t xml:space="preserve">а також </w:t>
      </w:r>
      <w:r w:rsidRPr="008F726B">
        <w:rPr>
          <w:rFonts w:eastAsiaTheme="minorHAnsi"/>
          <w:szCs w:val="28"/>
          <w:lang w:eastAsia="en-US"/>
        </w:rPr>
        <w:t xml:space="preserve"> </w:t>
      </w:r>
      <w:r w:rsidR="00C10125" w:rsidRPr="008F726B">
        <w:rPr>
          <w:rFonts w:eastAsiaTheme="minorHAnsi"/>
          <w:szCs w:val="28"/>
          <w:lang w:eastAsia="en-US"/>
        </w:rPr>
        <w:t>тривал</w:t>
      </w:r>
      <w:r w:rsidR="004345F3">
        <w:rPr>
          <w:rFonts w:eastAsiaTheme="minorHAnsi"/>
          <w:szCs w:val="28"/>
          <w:lang w:eastAsia="en-US"/>
        </w:rPr>
        <w:t>ість</w:t>
      </w:r>
      <w:r w:rsidR="00C10125" w:rsidRPr="008F726B">
        <w:rPr>
          <w:rFonts w:eastAsiaTheme="minorHAnsi"/>
          <w:szCs w:val="28"/>
          <w:lang w:eastAsia="en-US"/>
        </w:rPr>
        <w:t xml:space="preserve"> процедури оскарження постанов у справах про </w:t>
      </w:r>
      <w:r w:rsidR="00912695">
        <w:rPr>
          <w:rFonts w:eastAsiaTheme="minorHAnsi"/>
          <w:szCs w:val="28"/>
          <w:lang w:eastAsia="en-US"/>
        </w:rPr>
        <w:t>порушення митних правил</w:t>
      </w:r>
      <w:r w:rsidR="00C10125" w:rsidRPr="008F726B">
        <w:rPr>
          <w:rFonts w:eastAsiaTheme="minorHAnsi"/>
          <w:szCs w:val="28"/>
          <w:lang w:eastAsia="en-US"/>
        </w:rPr>
        <w:t xml:space="preserve">, </w:t>
      </w:r>
      <w:r w:rsidRPr="008F726B">
        <w:rPr>
          <w:rFonts w:eastAsiaTheme="minorHAnsi"/>
          <w:szCs w:val="28"/>
          <w:lang w:eastAsia="en-US"/>
        </w:rPr>
        <w:t>унеможливлюється притягнення правопорушників до адміністративної ві</w:t>
      </w:r>
      <w:r w:rsidR="00C10125" w:rsidRPr="008F726B">
        <w:rPr>
          <w:rFonts w:eastAsiaTheme="minorHAnsi"/>
          <w:szCs w:val="28"/>
          <w:lang w:eastAsia="en-US"/>
        </w:rPr>
        <w:t>дповідальності, о</w:t>
      </w:r>
      <w:r w:rsidRPr="008F726B">
        <w:rPr>
          <w:rFonts w:eastAsiaTheme="minorHAnsi"/>
          <w:szCs w:val="28"/>
          <w:lang w:eastAsia="en-US"/>
        </w:rPr>
        <w:t xml:space="preserve">скільки навіть у разі визнання правопорушника винним </w:t>
      </w:r>
      <w:r w:rsidRPr="008F726B">
        <w:rPr>
          <w:rFonts w:eastAsiaTheme="minorHAnsi"/>
          <w:szCs w:val="28"/>
          <w:lang w:eastAsia="en-US"/>
        </w:rPr>
        <w:lastRenderedPageBreak/>
        <w:t xml:space="preserve">закінчуються процесуальні строки притягнення особи до такої відповідальності.   </w:t>
      </w:r>
    </w:p>
    <w:p w:rsidR="009856E9" w:rsidRPr="002F49BF" w:rsidRDefault="009856E9" w:rsidP="009856E9">
      <w:pPr>
        <w:spacing w:before="120" w:after="120"/>
        <w:ind w:firstLine="709"/>
        <w:jc w:val="both"/>
        <w:rPr>
          <w:szCs w:val="28"/>
        </w:rPr>
      </w:pPr>
      <w:r w:rsidRPr="002F49BF">
        <w:rPr>
          <w:szCs w:val="28"/>
        </w:rPr>
        <w:t>Упродовж 2016 року судами за результатами розгляду справ про порушення митних правил винесено рішення про накладення стягнення на загальну суму 658</w:t>
      </w:r>
      <w:r w:rsidR="00E85488">
        <w:rPr>
          <w:szCs w:val="28"/>
          <w:lang w:val="ru-RU"/>
        </w:rPr>
        <w:t> </w:t>
      </w:r>
      <w:r w:rsidRPr="002F49BF">
        <w:rPr>
          <w:szCs w:val="28"/>
        </w:rPr>
        <w:t>млн. грн. (штраф та конфіскація). Водночас рішення про припинення провадження винесено в 749 справах про порушення митних правил на суму 539</w:t>
      </w:r>
      <w:r w:rsidR="00E85488">
        <w:rPr>
          <w:szCs w:val="28"/>
          <w:lang w:val="ru-RU"/>
        </w:rPr>
        <w:t> </w:t>
      </w:r>
      <w:r w:rsidRPr="002F49BF">
        <w:rPr>
          <w:szCs w:val="28"/>
        </w:rPr>
        <w:t xml:space="preserve">млн. грн., при чому в третині випадків – у зв’язку </w:t>
      </w:r>
      <w:r w:rsidR="004345F3">
        <w:rPr>
          <w:szCs w:val="28"/>
        </w:rPr>
        <w:t>і</w:t>
      </w:r>
      <w:r w:rsidRPr="002F49BF">
        <w:rPr>
          <w:szCs w:val="28"/>
        </w:rPr>
        <w:t xml:space="preserve">з закінченням строку притягнення до відповідальності. </w:t>
      </w:r>
    </w:p>
    <w:p w:rsidR="00912695" w:rsidRDefault="00912695" w:rsidP="009126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Відповідно до ст</w:t>
      </w:r>
      <w:r w:rsidR="00482252">
        <w:rPr>
          <w:szCs w:val="28"/>
        </w:rPr>
        <w:t>атті</w:t>
      </w:r>
      <w:r>
        <w:rPr>
          <w:szCs w:val="28"/>
        </w:rPr>
        <w:t xml:space="preserve"> 487 </w:t>
      </w:r>
      <w:proofErr w:type="spellStart"/>
      <w:r>
        <w:rPr>
          <w:szCs w:val="28"/>
        </w:rPr>
        <w:t>МК</w:t>
      </w:r>
      <w:proofErr w:type="spellEnd"/>
      <w:r>
        <w:rPr>
          <w:szCs w:val="28"/>
        </w:rPr>
        <w:t xml:space="preserve"> України п</w:t>
      </w:r>
      <w:r w:rsidRPr="00624F82">
        <w:rPr>
          <w:szCs w:val="28"/>
        </w:rPr>
        <w:t>ровадження у справах про порушення митних правил здійснюється відповідно до цього Кодексу, а в ч</w:t>
      </w:r>
      <w:r w:rsidR="001D347B">
        <w:rPr>
          <w:szCs w:val="28"/>
        </w:rPr>
        <w:t xml:space="preserve">астині, що не регулюється ним, – </w:t>
      </w:r>
      <w:r w:rsidRPr="00624F82">
        <w:rPr>
          <w:szCs w:val="28"/>
        </w:rPr>
        <w:t>відповідно до законодавства України про адміністративні правопорушення</w:t>
      </w:r>
      <w:r>
        <w:rPr>
          <w:szCs w:val="28"/>
        </w:rPr>
        <w:t xml:space="preserve"> (при цьому </w:t>
      </w:r>
      <w:proofErr w:type="spellStart"/>
      <w:r>
        <w:rPr>
          <w:szCs w:val="28"/>
        </w:rPr>
        <w:t>КУпАП</w:t>
      </w:r>
      <w:proofErr w:type="spellEnd"/>
      <w:r>
        <w:rPr>
          <w:szCs w:val="28"/>
        </w:rPr>
        <w:t xml:space="preserve"> передбачено накладення адміністративних стягнень протягом 3 місяців, а не 6, як це передбачено </w:t>
      </w:r>
      <w:proofErr w:type="spellStart"/>
      <w:r>
        <w:rPr>
          <w:szCs w:val="28"/>
        </w:rPr>
        <w:t>МК</w:t>
      </w:r>
      <w:proofErr w:type="spellEnd"/>
      <w:r>
        <w:rPr>
          <w:szCs w:val="28"/>
        </w:rPr>
        <w:t xml:space="preserve"> України)</w:t>
      </w:r>
      <w:r w:rsidRPr="00624F82">
        <w:rPr>
          <w:szCs w:val="28"/>
        </w:rPr>
        <w:t>.</w:t>
      </w:r>
    </w:p>
    <w:p w:rsidR="00912695" w:rsidRDefault="00912695" w:rsidP="00912695">
      <w:pPr>
        <w:ind w:firstLine="709"/>
        <w:jc w:val="both"/>
        <w:rPr>
          <w:szCs w:val="28"/>
        </w:rPr>
      </w:pPr>
      <w:r w:rsidRPr="008F726B">
        <w:rPr>
          <w:rFonts w:eastAsiaTheme="minorHAnsi"/>
          <w:szCs w:val="28"/>
          <w:lang w:eastAsia="en-US"/>
        </w:rPr>
        <w:t>Вирішення зазначеного питання можливе шляхом внесення змін до ст</w:t>
      </w:r>
      <w:r w:rsidR="001D347B">
        <w:rPr>
          <w:rFonts w:eastAsiaTheme="minorHAnsi"/>
          <w:szCs w:val="28"/>
          <w:lang w:eastAsia="en-US"/>
        </w:rPr>
        <w:t>. </w:t>
      </w:r>
      <w:r w:rsidRPr="008F726B">
        <w:rPr>
          <w:rFonts w:eastAsiaTheme="minorHAnsi"/>
          <w:szCs w:val="28"/>
          <w:lang w:eastAsia="en-US"/>
        </w:rPr>
        <w:t xml:space="preserve">467 </w:t>
      </w:r>
      <w:proofErr w:type="spellStart"/>
      <w:r w:rsidR="001D347B">
        <w:rPr>
          <w:rFonts w:eastAsiaTheme="minorHAnsi"/>
          <w:szCs w:val="28"/>
          <w:lang w:eastAsia="en-US"/>
        </w:rPr>
        <w:t>МК</w:t>
      </w:r>
      <w:proofErr w:type="spellEnd"/>
      <w:r w:rsidR="001D347B">
        <w:rPr>
          <w:rFonts w:eastAsiaTheme="minorHAnsi"/>
          <w:szCs w:val="28"/>
          <w:lang w:eastAsia="en-US"/>
        </w:rPr>
        <w:t xml:space="preserve"> </w:t>
      </w:r>
      <w:r w:rsidRPr="008F726B">
        <w:rPr>
          <w:rFonts w:eastAsiaTheme="minorHAnsi"/>
          <w:szCs w:val="28"/>
          <w:lang w:eastAsia="en-US"/>
        </w:rPr>
        <w:t xml:space="preserve">Кодексу в частині встановлення строків застосування адміністративного стягнення за </w:t>
      </w:r>
      <w:r>
        <w:rPr>
          <w:rFonts w:eastAsiaTheme="minorHAnsi"/>
          <w:szCs w:val="28"/>
          <w:lang w:eastAsia="en-US"/>
        </w:rPr>
        <w:t>порушення митних правил</w:t>
      </w:r>
      <w:r w:rsidRPr="008F726B">
        <w:rPr>
          <w:rFonts w:eastAsiaTheme="minorHAnsi"/>
          <w:szCs w:val="28"/>
          <w:lang w:eastAsia="en-US"/>
        </w:rPr>
        <w:t xml:space="preserve"> з дня виявлення правопорушення.</w:t>
      </w:r>
      <w:r w:rsidRPr="00912695">
        <w:rPr>
          <w:szCs w:val="28"/>
        </w:rPr>
        <w:t xml:space="preserve"> </w:t>
      </w:r>
    </w:p>
    <w:p w:rsidR="009856E9" w:rsidRPr="002F49BF" w:rsidRDefault="009856E9" w:rsidP="009856E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2F49BF">
        <w:rPr>
          <w:szCs w:val="28"/>
        </w:rPr>
        <w:t>Аналіз постанов суду, винесених у 2016 році, свідчить про те, що через тривалий розгляд справ про порушення митних правил, у тому числі унаслідок затягування розгляду справ судами, рішення про закриття провадження винесено в 12</w:t>
      </w:r>
      <w:r w:rsidR="001D347B">
        <w:rPr>
          <w:szCs w:val="28"/>
        </w:rPr>
        <w:t>8 справах на суму 355,7 млн. гривень.</w:t>
      </w:r>
    </w:p>
    <w:p w:rsidR="00912695" w:rsidRDefault="00912695" w:rsidP="00912695">
      <w:pPr>
        <w:ind w:firstLine="709"/>
        <w:jc w:val="both"/>
        <w:rPr>
          <w:szCs w:val="28"/>
        </w:rPr>
      </w:pPr>
      <w:r>
        <w:rPr>
          <w:szCs w:val="28"/>
        </w:rPr>
        <w:t>З огляду на викладене пропонується передбачити норму, яка передбачає зупинення строків накладення адміністративних стягнень під час розгляду справ про порушення митних правил судом.</w:t>
      </w:r>
    </w:p>
    <w:p w:rsidR="009856E9" w:rsidRDefault="009856E9" w:rsidP="009856E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2F49BF">
        <w:rPr>
          <w:szCs w:val="28"/>
        </w:rPr>
        <w:t xml:space="preserve">Правовий інститут зупинення провадження в адміністративних справах вже існує. Зокрема, стаття 277 </w:t>
      </w:r>
      <w:proofErr w:type="spellStart"/>
      <w:r w:rsidR="001D347B">
        <w:rPr>
          <w:szCs w:val="28"/>
        </w:rPr>
        <w:t>КУпАП</w:t>
      </w:r>
      <w:proofErr w:type="spellEnd"/>
      <w:r w:rsidRPr="002F49BF">
        <w:rPr>
          <w:szCs w:val="28"/>
        </w:rPr>
        <w:t xml:space="preserve"> передбачає норму, згідно з якою </w:t>
      </w:r>
      <w:r w:rsidR="00147A59">
        <w:rPr>
          <w:szCs w:val="28"/>
        </w:rPr>
        <w:t>с</w:t>
      </w:r>
      <w:r w:rsidRPr="002F49BF">
        <w:rPr>
          <w:szCs w:val="28"/>
        </w:rPr>
        <w:t>трок розгляду адміністративних справ про адміністративні корупційні правопорушення зупиняється судом</w:t>
      </w:r>
      <w:r w:rsidR="00482252">
        <w:rPr>
          <w:szCs w:val="28"/>
        </w:rPr>
        <w:t xml:space="preserve">, </w:t>
      </w:r>
      <w:r w:rsidRPr="002F49BF">
        <w:rPr>
          <w:szCs w:val="28"/>
        </w:rPr>
        <w:t>якщо особа, щодо якої складено протокол про адміністративне корупційне правопорушення, умисно ухиляється від явки до суду або з поважних причин не може туди з'явитися (хвороба, перебування у відрядженні чи на лікуванні, у відпустці тощо)</w:t>
      </w:r>
      <w:bookmarkStart w:id="0" w:name="_GoBack"/>
      <w:bookmarkEnd w:id="0"/>
      <w:r w:rsidRPr="002F49BF">
        <w:rPr>
          <w:szCs w:val="28"/>
        </w:rPr>
        <w:t>.</w:t>
      </w:r>
    </w:p>
    <w:p w:rsidR="00C53EF0" w:rsidRPr="008F726B" w:rsidRDefault="00C53EF0" w:rsidP="009856E9">
      <w:pPr>
        <w:spacing w:before="120" w:after="120"/>
        <w:ind w:firstLine="709"/>
        <w:jc w:val="both"/>
        <w:rPr>
          <w:color w:val="000000"/>
          <w:szCs w:val="28"/>
          <w:lang w:eastAsia="uk-UA"/>
        </w:rPr>
      </w:pPr>
      <w:r w:rsidRPr="008F726B">
        <w:rPr>
          <w:rFonts w:eastAsiaTheme="minorHAnsi"/>
          <w:szCs w:val="28"/>
          <w:lang w:eastAsia="en-US"/>
        </w:rPr>
        <w:t xml:space="preserve">Також аналіз практики застосування компромісу у справах про </w:t>
      </w:r>
      <w:r w:rsidR="00912695">
        <w:rPr>
          <w:rFonts w:eastAsiaTheme="minorHAnsi"/>
          <w:szCs w:val="28"/>
          <w:lang w:eastAsia="en-US"/>
        </w:rPr>
        <w:t>порушення митних правил</w:t>
      </w:r>
      <w:r w:rsidRPr="008F726B">
        <w:rPr>
          <w:rFonts w:eastAsiaTheme="minorHAnsi"/>
          <w:szCs w:val="28"/>
          <w:lang w:eastAsia="en-US"/>
        </w:rPr>
        <w:t>,</w:t>
      </w:r>
      <w:r w:rsidRPr="008F726B">
        <w:rPr>
          <w:color w:val="000000"/>
          <w:szCs w:val="28"/>
          <w:lang w:eastAsia="uk-UA"/>
        </w:rPr>
        <w:t xml:space="preserve"> </w:t>
      </w:r>
      <w:r w:rsidRPr="008F726B">
        <w:rPr>
          <w:rFonts w:eastAsiaTheme="minorHAnsi"/>
          <w:szCs w:val="28"/>
          <w:lang w:eastAsia="en-US"/>
        </w:rPr>
        <w:t xml:space="preserve">відповідно до статті 521 Кодексу, </w:t>
      </w:r>
      <w:r w:rsidRPr="008F726B">
        <w:rPr>
          <w:color w:val="000000"/>
          <w:szCs w:val="28"/>
          <w:lang w:eastAsia="uk-UA"/>
        </w:rPr>
        <w:t>свідчить, що зазначена процедура, яка є новою для митного права, поступово набуває поширення.</w:t>
      </w:r>
    </w:p>
    <w:p w:rsidR="009856E9" w:rsidRPr="002F49BF" w:rsidRDefault="009856E9" w:rsidP="009856E9">
      <w:pPr>
        <w:spacing w:before="120" w:after="120"/>
        <w:ind w:firstLine="709"/>
        <w:jc w:val="both"/>
        <w:rPr>
          <w:szCs w:val="28"/>
        </w:rPr>
      </w:pPr>
      <w:r w:rsidRPr="002F49BF">
        <w:rPr>
          <w:szCs w:val="28"/>
        </w:rPr>
        <w:t>Упродовж 2016 року митницями укладено 296 мирових угод, за результатами виконання яких до державного бюджету перехо</w:t>
      </w:r>
      <w:r w:rsidR="00482252">
        <w:rPr>
          <w:szCs w:val="28"/>
        </w:rPr>
        <w:t>вано коштів на суму 2,9 млн. гривень.</w:t>
      </w:r>
      <w:r w:rsidRPr="002F49BF">
        <w:rPr>
          <w:szCs w:val="28"/>
        </w:rPr>
        <w:t xml:space="preserve"> У митні режими 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>відмова на користь держави</w:t>
      </w:r>
      <w:r w:rsidR="00E85488" w:rsidRPr="008F726B">
        <w:rPr>
          <w:color w:val="000000"/>
          <w:szCs w:val="28"/>
          <w:lang w:eastAsia="uk-UA"/>
        </w:rPr>
        <w:t>"</w:t>
      </w:r>
      <w:r w:rsidR="00482252">
        <w:rPr>
          <w:szCs w:val="28"/>
        </w:rPr>
        <w:t xml:space="preserve"> та "</w:t>
      </w:r>
      <w:r w:rsidRPr="002F49BF">
        <w:rPr>
          <w:szCs w:val="28"/>
        </w:rPr>
        <w:t>знищення та руйнування</w:t>
      </w:r>
      <w:r w:rsidR="00E85488" w:rsidRPr="008F726B">
        <w:rPr>
          <w:color w:val="000000"/>
          <w:szCs w:val="28"/>
          <w:lang w:eastAsia="uk-UA"/>
        </w:rPr>
        <w:t>"</w:t>
      </w:r>
      <w:r w:rsidRPr="002F49BF">
        <w:rPr>
          <w:szCs w:val="28"/>
        </w:rPr>
        <w:t xml:space="preserve"> оформлено товарів на суму 649 тис. гр</w:t>
      </w:r>
      <w:r w:rsidR="00482252">
        <w:rPr>
          <w:szCs w:val="28"/>
        </w:rPr>
        <w:t>ивень</w:t>
      </w:r>
      <w:r w:rsidRPr="002F49BF">
        <w:rPr>
          <w:szCs w:val="28"/>
        </w:rPr>
        <w:t>.</w:t>
      </w:r>
    </w:p>
    <w:p w:rsidR="009856E9" w:rsidRPr="008F726B" w:rsidRDefault="009856E9" w:rsidP="009856E9">
      <w:pPr>
        <w:spacing w:before="120" w:after="120"/>
        <w:ind w:firstLine="709"/>
        <w:jc w:val="both"/>
        <w:rPr>
          <w:szCs w:val="28"/>
        </w:rPr>
      </w:pPr>
      <w:r w:rsidRPr="002F49BF">
        <w:rPr>
          <w:szCs w:val="28"/>
        </w:rPr>
        <w:t>Проведений аналіз засвідчив, що шляхом компромісу провадження в справах про порушення митних правил припинено лише в 1,5</w:t>
      </w:r>
      <w:r w:rsidR="00482252">
        <w:rPr>
          <w:szCs w:val="28"/>
        </w:rPr>
        <w:t xml:space="preserve"> </w:t>
      </w:r>
      <w:proofErr w:type="spellStart"/>
      <w:r w:rsidR="00482252">
        <w:rPr>
          <w:szCs w:val="28"/>
        </w:rPr>
        <w:t>відс</w:t>
      </w:r>
      <w:proofErr w:type="spellEnd"/>
      <w:r w:rsidR="00482252">
        <w:rPr>
          <w:szCs w:val="28"/>
        </w:rPr>
        <w:t>.</w:t>
      </w:r>
      <w:r w:rsidRPr="002F49BF">
        <w:rPr>
          <w:szCs w:val="28"/>
        </w:rPr>
        <w:t xml:space="preserve"> від загальної кількості заведених упродовж 2016 року справ.</w:t>
      </w:r>
    </w:p>
    <w:p w:rsidR="00C53EF0" w:rsidRPr="008F726B" w:rsidRDefault="009856E9" w:rsidP="00980E75">
      <w:pPr>
        <w:spacing w:before="120"/>
        <w:ind w:firstLine="709"/>
        <w:jc w:val="both"/>
        <w:rPr>
          <w:bCs/>
          <w:iCs/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lastRenderedPageBreak/>
        <w:t>В</w:t>
      </w:r>
      <w:r w:rsidR="00C53EF0" w:rsidRPr="008F726B">
        <w:rPr>
          <w:color w:val="000000"/>
          <w:szCs w:val="28"/>
          <w:lang w:eastAsia="uk-UA"/>
        </w:rPr>
        <w:t>ідсоток укладених мирових угод у порівнянні із загальною кількістю протоколів про ПМП є незначн</w:t>
      </w:r>
      <w:r w:rsidR="00482252">
        <w:rPr>
          <w:color w:val="000000"/>
          <w:szCs w:val="28"/>
          <w:lang w:eastAsia="uk-UA"/>
        </w:rPr>
        <w:t>им</w:t>
      </w:r>
      <w:r w:rsidR="00C53EF0" w:rsidRPr="008F726B">
        <w:rPr>
          <w:color w:val="000000"/>
          <w:szCs w:val="28"/>
          <w:lang w:eastAsia="uk-UA"/>
        </w:rPr>
        <w:t>, оскільки</w:t>
      </w:r>
      <w:r w:rsidR="00C53EF0" w:rsidRPr="008F726B">
        <w:rPr>
          <w:bCs/>
          <w:iCs/>
          <w:color w:val="000000"/>
          <w:szCs w:val="28"/>
          <w:lang w:eastAsia="uk-UA"/>
        </w:rPr>
        <w:t xml:space="preserve"> відсутня достатня мотивація – </w:t>
      </w:r>
      <w:r w:rsidR="00C53EF0" w:rsidRPr="008F726B">
        <w:rPr>
          <w:color w:val="000000"/>
          <w:szCs w:val="28"/>
          <w:lang w:eastAsia="uk-UA"/>
        </w:rPr>
        <w:t>фінансовий тягар за вчинення правопорушення при укладенні мирової угоди є фактично таким самим</w:t>
      </w:r>
      <w:r w:rsidR="00482252">
        <w:rPr>
          <w:color w:val="000000"/>
          <w:szCs w:val="28"/>
          <w:lang w:eastAsia="uk-UA"/>
        </w:rPr>
        <w:t>,</w:t>
      </w:r>
      <w:r w:rsidR="00C53EF0" w:rsidRPr="008F726B">
        <w:rPr>
          <w:color w:val="000000"/>
          <w:szCs w:val="28"/>
          <w:lang w:eastAsia="uk-UA"/>
        </w:rPr>
        <w:t xml:space="preserve"> як і без неї.</w:t>
      </w:r>
    </w:p>
    <w:p w:rsidR="006C6D1A" w:rsidRPr="008F726B" w:rsidRDefault="006C6D1A" w:rsidP="00980E75">
      <w:pPr>
        <w:widowControl w:val="0"/>
        <w:spacing w:before="120"/>
        <w:ind w:right="120" w:firstLine="709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t xml:space="preserve">З метою стимулювання </w:t>
      </w:r>
      <w:r w:rsidR="00D00E0E" w:rsidRPr="008F726B">
        <w:rPr>
          <w:color w:val="000000"/>
          <w:szCs w:val="28"/>
          <w:lang w:eastAsia="uk-UA"/>
        </w:rPr>
        <w:t>до компромісу доцільно п</w:t>
      </w:r>
      <w:r w:rsidRPr="008F726B">
        <w:rPr>
          <w:color w:val="000000"/>
          <w:szCs w:val="28"/>
          <w:lang w:eastAsia="uk-UA"/>
        </w:rPr>
        <w:t>ісля сплати штрафу за вчинення ПМП</w:t>
      </w:r>
      <w:r w:rsidR="00482252">
        <w:rPr>
          <w:color w:val="000000"/>
          <w:szCs w:val="28"/>
          <w:lang w:eastAsia="uk-UA"/>
        </w:rPr>
        <w:t xml:space="preserve"> </w:t>
      </w:r>
      <w:r w:rsidR="007179DF" w:rsidRPr="008F726B">
        <w:rPr>
          <w:color w:val="000000"/>
          <w:szCs w:val="28"/>
          <w:lang w:eastAsia="uk-UA"/>
        </w:rPr>
        <w:t xml:space="preserve">та/або </w:t>
      </w:r>
      <w:r w:rsidR="00482252">
        <w:rPr>
          <w:color w:val="000000"/>
          <w:szCs w:val="28"/>
          <w:lang w:eastAsia="uk-UA"/>
        </w:rPr>
        <w:t xml:space="preserve">стягнення </w:t>
      </w:r>
      <w:r w:rsidR="007179DF" w:rsidRPr="008F726B">
        <w:rPr>
          <w:color w:val="000000"/>
          <w:szCs w:val="28"/>
          <w:lang w:eastAsia="uk-UA"/>
        </w:rPr>
        <w:t>вартості товарів, що підлягають конфіскації,</w:t>
      </w:r>
      <w:r w:rsidRPr="008F726B">
        <w:rPr>
          <w:color w:val="000000"/>
          <w:szCs w:val="28"/>
          <w:lang w:eastAsia="uk-UA"/>
        </w:rPr>
        <w:t xml:space="preserve"> передбачити можливість декларування товарів, що є предметом ПМП, у митний режим, який передбачає</w:t>
      </w:r>
      <w:r w:rsidRPr="008F726B">
        <w:rPr>
          <w:bCs/>
          <w:iCs/>
          <w:color w:val="000000"/>
          <w:szCs w:val="28"/>
          <w:lang w:eastAsia="uk-UA"/>
        </w:rPr>
        <w:t xml:space="preserve"> випуск товарів у вільний обіг</w:t>
      </w:r>
      <w:r w:rsidRPr="008F726B">
        <w:rPr>
          <w:color w:val="000000"/>
          <w:szCs w:val="28"/>
          <w:lang w:eastAsia="uk-UA"/>
        </w:rPr>
        <w:t xml:space="preserve"> (на цей час пропонується декларувати товар лише у митні режими </w:t>
      </w:r>
      <w:r w:rsidR="005A559C" w:rsidRPr="008F726B">
        <w:rPr>
          <w:color w:val="000000"/>
          <w:szCs w:val="28"/>
          <w:lang w:eastAsia="uk-UA"/>
        </w:rPr>
        <w:t>"</w:t>
      </w:r>
      <w:r w:rsidRPr="008F726B">
        <w:rPr>
          <w:color w:val="000000"/>
          <w:szCs w:val="28"/>
          <w:lang w:eastAsia="uk-UA"/>
        </w:rPr>
        <w:t>відмова на користь держави</w:t>
      </w:r>
      <w:r w:rsidR="005A559C" w:rsidRPr="008F726B">
        <w:rPr>
          <w:color w:val="000000"/>
          <w:szCs w:val="28"/>
          <w:lang w:eastAsia="uk-UA"/>
        </w:rPr>
        <w:t>"</w:t>
      </w:r>
      <w:r w:rsidRPr="008F726B">
        <w:rPr>
          <w:color w:val="000000"/>
          <w:szCs w:val="28"/>
          <w:lang w:eastAsia="uk-UA"/>
        </w:rPr>
        <w:t xml:space="preserve"> </w:t>
      </w:r>
      <w:r w:rsidR="005A559C" w:rsidRPr="008F726B">
        <w:rPr>
          <w:color w:val="000000"/>
          <w:szCs w:val="28"/>
          <w:lang w:eastAsia="uk-UA"/>
        </w:rPr>
        <w:t>та</w:t>
      </w:r>
      <w:r w:rsidRPr="008F726B">
        <w:rPr>
          <w:color w:val="000000"/>
          <w:szCs w:val="28"/>
          <w:lang w:eastAsia="uk-UA"/>
        </w:rPr>
        <w:t xml:space="preserve"> </w:t>
      </w:r>
      <w:r w:rsidR="005A559C" w:rsidRPr="008F726B">
        <w:rPr>
          <w:color w:val="000000"/>
          <w:szCs w:val="28"/>
          <w:lang w:eastAsia="uk-UA"/>
        </w:rPr>
        <w:t>"</w:t>
      </w:r>
      <w:r w:rsidRPr="008F726B">
        <w:rPr>
          <w:color w:val="000000"/>
          <w:szCs w:val="28"/>
          <w:lang w:eastAsia="uk-UA"/>
        </w:rPr>
        <w:t xml:space="preserve">знищення </w:t>
      </w:r>
      <w:r w:rsidR="005A559C" w:rsidRPr="008F726B">
        <w:rPr>
          <w:color w:val="000000"/>
          <w:szCs w:val="28"/>
          <w:lang w:eastAsia="uk-UA"/>
        </w:rPr>
        <w:t>або</w:t>
      </w:r>
      <w:r w:rsidRPr="008F726B">
        <w:rPr>
          <w:color w:val="000000"/>
          <w:szCs w:val="28"/>
          <w:lang w:eastAsia="uk-UA"/>
        </w:rPr>
        <w:t xml:space="preserve"> руйнування</w:t>
      </w:r>
      <w:r w:rsidR="005A559C" w:rsidRPr="008F726B">
        <w:rPr>
          <w:color w:val="000000"/>
          <w:szCs w:val="28"/>
          <w:lang w:eastAsia="uk-UA"/>
        </w:rPr>
        <w:t>"</w:t>
      </w:r>
      <w:r w:rsidRPr="008F726B">
        <w:rPr>
          <w:color w:val="000000"/>
          <w:szCs w:val="28"/>
          <w:lang w:eastAsia="uk-UA"/>
        </w:rPr>
        <w:t>).</w:t>
      </w:r>
    </w:p>
    <w:p w:rsidR="00C53EF0" w:rsidRPr="008F726B" w:rsidRDefault="00C53EF0" w:rsidP="00980E75">
      <w:pPr>
        <w:spacing w:before="120"/>
        <w:ind w:firstLine="709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t xml:space="preserve">Крім цього, на сьогодні залишається неврегульованим питання застосування компромісу у справах про ПМП, предметом правопорушення яких є </w:t>
      </w:r>
      <w:r w:rsidR="001D79B7" w:rsidRPr="008F726B">
        <w:rPr>
          <w:color w:val="000000"/>
          <w:szCs w:val="28"/>
          <w:lang w:eastAsia="uk-UA"/>
        </w:rPr>
        <w:t xml:space="preserve">українські </w:t>
      </w:r>
      <w:r w:rsidRPr="008F726B">
        <w:rPr>
          <w:color w:val="000000"/>
          <w:szCs w:val="28"/>
          <w:lang w:eastAsia="uk-UA"/>
        </w:rPr>
        <w:t>товари, які експортуються з України.</w:t>
      </w:r>
    </w:p>
    <w:p w:rsidR="00D00E0E" w:rsidRPr="008F726B" w:rsidRDefault="00D00E0E" w:rsidP="00980E75">
      <w:pPr>
        <w:spacing w:before="120"/>
        <w:ind w:firstLine="709"/>
        <w:jc w:val="both"/>
        <w:rPr>
          <w:rFonts w:eastAsia="Calibri"/>
          <w:szCs w:val="28"/>
          <w:lang w:eastAsia="en-US"/>
        </w:rPr>
      </w:pPr>
      <w:r w:rsidRPr="008F726B">
        <w:rPr>
          <w:rFonts w:eastAsia="Calibri"/>
          <w:szCs w:val="28"/>
          <w:lang w:eastAsia="en-US"/>
        </w:rPr>
        <w:t xml:space="preserve">На </w:t>
      </w:r>
      <w:r w:rsidR="00482252">
        <w:rPr>
          <w:rFonts w:eastAsia="Calibri"/>
          <w:szCs w:val="28"/>
          <w:lang w:eastAsia="en-US"/>
        </w:rPr>
        <w:t>сьогодні</w:t>
      </w:r>
      <w:r w:rsidRPr="008F726B">
        <w:rPr>
          <w:rFonts w:eastAsia="Calibri"/>
          <w:szCs w:val="28"/>
          <w:lang w:eastAsia="en-US"/>
        </w:rPr>
        <w:t xml:space="preserve">, з огляду на вимоги статей 175-185 </w:t>
      </w:r>
      <w:proofErr w:type="spellStart"/>
      <w:r w:rsidRPr="008F726B">
        <w:rPr>
          <w:rFonts w:eastAsia="Calibri"/>
          <w:szCs w:val="28"/>
          <w:lang w:eastAsia="en-US"/>
        </w:rPr>
        <w:t>М</w:t>
      </w:r>
      <w:r w:rsidR="00482252">
        <w:rPr>
          <w:rFonts w:eastAsia="Calibri"/>
          <w:szCs w:val="28"/>
          <w:lang w:eastAsia="en-US"/>
        </w:rPr>
        <w:t>К</w:t>
      </w:r>
      <w:proofErr w:type="spellEnd"/>
      <w:r w:rsidRPr="008F726B">
        <w:rPr>
          <w:rFonts w:eastAsia="Calibri"/>
          <w:szCs w:val="28"/>
          <w:lang w:eastAsia="en-US"/>
        </w:rPr>
        <w:t xml:space="preserve"> України, мирова угода в частині декларування товарів в митні режи</w:t>
      </w:r>
      <w:r w:rsidR="005A559C" w:rsidRPr="008F726B">
        <w:rPr>
          <w:rFonts w:eastAsia="Calibri"/>
          <w:szCs w:val="28"/>
          <w:lang w:eastAsia="en-US"/>
        </w:rPr>
        <w:t>ми "відмова на користь держави" та</w:t>
      </w:r>
      <w:r w:rsidRPr="008F726B">
        <w:rPr>
          <w:rFonts w:eastAsia="Calibri"/>
          <w:szCs w:val="28"/>
          <w:lang w:eastAsia="en-US"/>
        </w:rPr>
        <w:t xml:space="preserve"> </w:t>
      </w:r>
      <w:r w:rsidR="005A559C" w:rsidRPr="008F726B">
        <w:rPr>
          <w:rFonts w:eastAsia="Calibri"/>
          <w:szCs w:val="28"/>
          <w:lang w:eastAsia="en-US"/>
        </w:rPr>
        <w:t>"знищення або</w:t>
      </w:r>
      <w:r w:rsidRPr="008F726B">
        <w:rPr>
          <w:rFonts w:eastAsia="Calibri"/>
          <w:szCs w:val="28"/>
          <w:lang w:eastAsia="en-US"/>
        </w:rPr>
        <w:t xml:space="preserve"> руйнування</w:t>
      </w:r>
      <w:r w:rsidR="005A559C" w:rsidRPr="008F726B">
        <w:rPr>
          <w:rFonts w:eastAsia="Calibri"/>
          <w:szCs w:val="28"/>
          <w:lang w:eastAsia="en-US"/>
        </w:rPr>
        <w:t>"</w:t>
      </w:r>
      <w:r w:rsidRPr="008F726B">
        <w:rPr>
          <w:rFonts w:eastAsia="Calibri"/>
          <w:szCs w:val="28"/>
          <w:lang w:eastAsia="en-US"/>
        </w:rPr>
        <w:t xml:space="preserve"> не може бути виконана у разі, якщо предметами правопорушень є </w:t>
      </w:r>
      <w:r w:rsidR="001D79B7" w:rsidRPr="008F726B">
        <w:rPr>
          <w:rFonts w:eastAsia="Calibri"/>
          <w:szCs w:val="28"/>
          <w:lang w:eastAsia="en-US"/>
        </w:rPr>
        <w:t xml:space="preserve">українські </w:t>
      </w:r>
      <w:r w:rsidRPr="008F726B">
        <w:rPr>
          <w:rFonts w:eastAsia="Calibri"/>
          <w:szCs w:val="28"/>
          <w:lang w:eastAsia="en-US"/>
        </w:rPr>
        <w:t xml:space="preserve">товари (відповідно до вимог зазначених статей у </w:t>
      </w:r>
      <w:r w:rsidR="00482252">
        <w:rPr>
          <w:rFonts w:eastAsia="Calibri"/>
          <w:szCs w:val="28"/>
          <w:lang w:eastAsia="en-US"/>
        </w:rPr>
        <w:t>вказані</w:t>
      </w:r>
      <w:r w:rsidRPr="008F726B">
        <w:rPr>
          <w:rFonts w:eastAsia="Calibri"/>
          <w:szCs w:val="28"/>
          <w:lang w:eastAsia="en-US"/>
        </w:rPr>
        <w:t xml:space="preserve"> митні режими можуть бути поміщені лише іноземні товари). </w:t>
      </w:r>
    </w:p>
    <w:p w:rsidR="00C53EF0" w:rsidRPr="008F726B" w:rsidRDefault="00C53EF0" w:rsidP="00980E75">
      <w:pPr>
        <w:spacing w:before="120"/>
        <w:ind w:firstLine="709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t>Таким чином, існує необхідність нормативного врегулювання чинної процедури застосування компромісу у справах про ПМП.</w:t>
      </w:r>
    </w:p>
    <w:p w:rsidR="00D44042" w:rsidRPr="008F726B" w:rsidRDefault="00D44042" w:rsidP="00980E75">
      <w:pPr>
        <w:spacing w:before="120"/>
        <w:ind w:firstLine="709"/>
        <w:jc w:val="both"/>
        <w:rPr>
          <w:szCs w:val="28"/>
        </w:rPr>
      </w:pPr>
      <w:r w:rsidRPr="008F726B">
        <w:rPr>
          <w:szCs w:val="28"/>
        </w:rPr>
        <w:t>З метою внесення відповідних змін до законодавства підготовлено проект</w:t>
      </w:r>
      <w:r w:rsidR="002128B4" w:rsidRPr="008F726B">
        <w:rPr>
          <w:szCs w:val="28"/>
        </w:rPr>
        <w:t xml:space="preserve"> Закону України </w:t>
      </w:r>
      <w:r w:rsidR="00314A1E" w:rsidRPr="008F726B">
        <w:rPr>
          <w:szCs w:val="28"/>
        </w:rPr>
        <w:t>"</w:t>
      </w:r>
      <w:r w:rsidR="002128B4" w:rsidRPr="008F726B">
        <w:rPr>
          <w:szCs w:val="28"/>
        </w:rPr>
        <w:t>Про внесення змін до Митного кодексу України</w:t>
      </w:r>
      <w:r w:rsidR="00D030FD" w:rsidRPr="008F726B">
        <w:rPr>
          <w:szCs w:val="28"/>
        </w:rPr>
        <w:t xml:space="preserve"> щодо накладення стягнень у справах про порушення митних правил та виконання постанов у цих справах</w:t>
      </w:r>
      <w:r w:rsidR="00314A1E" w:rsidRPr="008F726B">
        <w:rPr>
          <w:szCs w:val="28"/>
        </w:rPr>
        <w:t>"</w:t>
      </w:r>
      <w:r w:rsidRPr="008F726B">
        <w:rPr>
          <w:szCs w:val="28"/>
        </w:rPr>
        <w:t>.</w:t>
      </w:r>
    </w:p>
    <w:p w:rsidR="00D44042" w:rsidRPr="004345F3" w:rsidRDefault="00D44042" w:rsidP="00980E75">
      <w:pPr>
        <w:widowControl w:val="0"/>
        <w:spacing w:before="120"/>
        <w:ind w:firstLine="709"/>
        <w:jc w:val="both"/>
        <w:rPr>
          <w:szCs w:val="28"/>
        </w:rPr>
      </w:pPr>
      <w:r w:rsidRPr="004345F3">
        <w:rPr>
          <w:b/>
          <w:szCs w:val="28"/>
        </w:rPr>
        <w:t>Обґрунтування необхідності державного регулювання</w:t>
      </w:r>
    </w:p>
    <w:p w:rsidR="005C3E4E" w:rsidRPr="008F726B" w:rsidRDefault="00C53EF0" w:rsidP="00980E75">
      <w:pPr>
        <w:spacing w:before="120"/>
        <w:ind w:firstLine="709"/>
        <w:jc w:val="both"/>
      </w:pPr>
      <w:r w:rsidRPr="008F726B">
        <w:t xml:space="preserve">Необхідність прийняття акта зумовлена потребою </w:t>
      </w:r>
      <w:r w:rsidR="005C3E4E" w:rsidRPr="008F726B">
        <w:t>вдосконалення митного законодавства з питань запобіганн</w:t>
      </w:r>
      <w:r w:rsidR="0072560B">
        <w:t>я</w:t>
      </w:r>
      <w:r w:rsidR="005C3E4E" w:rsidRPr="008F726B">
        <w:t xml:space="preserve"> та профілакти</w:t>
      </w:r>
      <w:r w:rsidR="0072560B">
        <w:t>ки</w:t>
      </w:r>
      <w:r w:rsidR="005C3E4E" w:rsidRPr="008F726B">
        <w:t xml:space="preserve"> митних правопорушень.</w:t>
      </w:r>
    </w:p>
    <w:p w:rsidR="00D44042" w:rsidRPr="008F726B" w:rsidRDefault="00D44042" w:rsidP="00980E75">
      <w:pPr>
        <w:spacing w:before="120"/>
        <w:ind w:firstLine="709"/>
        <w:jc w:val="both"/>
        <w:rPr>
          <w:szCs w:val="28"/>
        </w:rPr>
      </w:pPr>
      <w:r w:rsidRPr="008F726B">
        <w:rPr>
          <w:szCs w:val="28"/>
        </w:rPr>
        <w:t>Основні групи, на які проблема справляє вплив:</w:t>
      </w:r>
    </w:p>
    <w:p w:rsidR="00D44042" w:rsidRPr="008F726B" w:rsidRDefault="00D44042" w:rsidP="00D44042">
      <w:pPr>
        <w:jc w:val="both"/>
        <w:rPr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745"/>
        <w:gridCol w:w="4201"/>
      </w:tblGrid>
      <w:tr w:rsidR="00D44042" w:rsidRPr="008F726B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jc w:val="center"/>
              <w:rPr>
                <w:b/>
                <w:sz w:val="24"/>
                <w:szCs w:val="24"/>
              </w:rPr>
            </w:pPr>
            <w:r w:rsidRPr="008F726B">
              <w:rPr>
                <w:b/>
                <w:sz w:val="24"/>
                <w:szCs w:val="24"/>
              </w:rPr>
              <w:t>Групи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right="372" w:firstLine="708"/>
              <w:jc w:val="center"/>
              <w:rPr>
                <w:b/>
                <w:sz w:val="24"/>
                <w:szCs w:val="24"/>
              </w:rPr>
            </w:pPr>
            <w:r w:rsidRPr="008F726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jc w:val="center"/>
              <w:rPr>
                <w:b/>
                <w:sz w:val="24"/>
                <w:szCs w:val="24"/>
              </w:rPr>
            </w:pPr>
            <w:r w:rsidRPr="008F726B">
              <w:rPr>
                <w:b/>
                <w:sz w:val="24"/>
                <w:szCs w:val="24"/>
              </w:rPr>
              <w:t>Ні</w:t>
            </w:r>
          </w:p>
        </w:tc>
      </w:tr>
      <w:tr w:rsidR="00D44042" w:rsidRPr="008F726B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980E75">
            <w:pPr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Громадяни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2128B4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44042" w:rsidRPr="008F726B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980E75">
            <w:pPr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Держава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44042" w:rsidRPr="008F726B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980E75">
            <w:pPr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Суб’єкти господарювання: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44042" w:rsidRPr="008F726B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980E75">
            <w:pPr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у тому числі суб’єкти малого підприємництва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8F726B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</w:tbl>
    <w:p w:rsidR="00D44042" w:rsidRPr="008F726B" w:rsidRDefault="00D44042" w:rsidP="00980E75">
      <w:pPr>
        <w:spacing w:before="120"/>
        <w:ind w:firstLine="720"/>
        <w:jc w:val="both"/>
        <w:rPr>
          <w:b/>
          <w:szCs w:val="28"/>
        </w:rPr>
      </w:pPr>
      <w:r w:rsidRPr="008F726B">
        <w:rPr>
          <w:b/>
          <w:szCs w:val="28"/>
        </w:rPr>
        <w:t>ІІ</w:t>
      </w:r>
      <w:r w:rsidR="00FE0C02" w:rsidRPr="008F726B">
        <w:rPr>
          <w:b/>
          <w:szCs w:val="28"/>
        </w:rPr>
        <w:t>.</w:t>
      </w:r>
      <w:r w:rsidRPr="008F726B">
        <w:rPr>
          <w:b/>
          <w:szCs w:val="28"/>
        </w:rPr>
        <w:t xml:space="preserve"> Цілі державного регулювання</w:t>
      </w:r>
    </w:p>
    <w:p w:rsidR="005C3E4E" w:rsidRPr="008F726B" w:rsidRDefault="00D44042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eastAsia="uk-UA"/>
        </w:rPr>
      </w:pPr>
      <w:r w:rsidRPr="008F726B">
        <w:rPr>
          <w:szCs w:val="28"/>
        </w:rPr>
        <w:t>Метою прийняття акта є</w:t>
      </w:r>
      <w:r w:rsidR="007965C1" w:rsidRPr="008F726B">
        <w:rPr>
          <w:szCs w:val="28"/>
        </w:rPr>
        <w:t xml:space="preserve"> </w:t>
      </w:r>
      <w:r w:rsidR="005C3E4E" w:rsidRPr="008F726B">
        <w:rPr>
          <w:color w:val="000000"/>
          <w:szCs w:val="28"/>
          <w:lang w:eastAsia="uk-UA"/>
        </w:rPr>
        <w:t>вдосконалення законодавчої бази для ефективної профілактики та боротьби з митними правопорушеннями, а саме:</w:t>
      </w:r>
    </w:p>
    <w:p w:rsidR="001D79B7" w:rsidRPr="008F726B" w:rsidRDefault="001D79B7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eastAsia="uk-UA"/>
        </w:rPr>
      </w:pPr>
      <w:r w:rsidRPr="008F726B">
        <w:rPr>
          <w:color w:val="222222"/>
          <w:szCs w:val="28"/>
        </w:rPr>
        <w:t>ефективне запобігання та протидія</w:t>
      </w:r>
      <w:r w:rsidRPr="008F726B">
        <w:rPr>
          <w:color w:val="000000"/>
          <w:szCs w:val="28"/>
          <w:lang w:eastAsia="uk-UA"/>
        </w:rPr>
        <w:t xml:space="preserve"> вчиненн</w:t>
      </w:r>
      <w:r w:rsidR="000C0BAB" w:rsidRPr="008F726B">
        <w:rPr>
          <w:color w:val="000000"/>
          <w:szCs w:val="28"/>
          <w:lang w:eastAsia="uk-UA"/>
        </w:rPr>
        <w:t>ю</w:t>
      </w:r>
      <w:r w:rsidRPr="008F726B">
        <w:rPr>
          <w:color w:val="000000"/>
          <w:szCs w:val="28"/>
          <w:lang w:eastAsia="uk-UA"/>
        </w:rPr>
        <w:t xml:space="preserve"> ПМП;</w:t>
      </w:r>
    </w:p>
    <w:p w:rsidR="005C3E4E" w:rsidRPr="008F726B" w:rsidRDefault="005C3E4E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t>усунення</w:t>
      </w:r>
      <w:r w:rsidR="005A559C" w:rsidRPr="008F726B">
        <w:rPr>
          <w:color w:val="000000"/>
          <w:szCs w:val="28"/>
          <w:lang w:eastAsia="uk-UA"/>
        </w:rPr>
        <w:t xml:space="preserve"> прогалин законодавства, які дозволяють уника</w:t>
      </w:r>
      <w:r w:rsidRPr="008F726B">
        <w:rPr>
          <w:color w:val="000000"/>
          <w:szCs w:val="28"/>
          <w:lang w:eastAsia="uk-UA"/>
        </w:rPr>
        <w:t>ти відповідальності за вчинення ПМП;</w:t>
      </w:r>
    </w:p>
    <w:p w:rsidR="005C3E4E" w:rsidRPr="008F726B" w:rsidRDefault="005C3E4E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lastRenderedPageBreak/>
        <w:t>встановлення дієвих механізмів стягнення штрафів та конфіскації предметів ПМП;</w:t>
      </w:r>
    </w:p>
    <w:p w:rsidR="005C3E4E" w:rsidRPr="008F726B" w:rsidRDefault="005C3E4E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t>вдосконалення процедур</w:t>
      </w:r>
      <w:r w:rsidR="00473C6A" w:rsidRPr="008F726B">
        <w:rPr>
          <w:color w:val="000000"/>
          <w:szCs w:val="28"/>
          <w:lang w:eastAsia="uk-UA"/>
        </w:rPr>
        <w:t>и</w:t>
      </w:r>
      <w:r w:rsidRPr="008F726B">
        <w:rPr>
          <w:color w:val="000000"/>
          <w:szCs w:val="28"/>
          <w:lang w:eastAsia="uk-UA"/>
        </w:rPr>
        <w:t xml:space="preserve"> застосування компромісу у справах про ПМП</w:t>
      </w:r>
      <w:r w:rsidR="00E60364">
        <w:rPr>
          <w:color w:val="000000"/>
          <w:szCs w:val="28"/>
          <w:lang w:eastAsia="uk-UA"/>
        </w:rPr>
        <w:t>.</w:t>
      </w:r>
    </w:p>
    <w:p w:rsidR="00D44042" w:rsidRPr="008F726B" w:rsidRDefault="00D44042" w:rsidP="00980E75">
      <w:pPr>
        <w:widowControl w:val="0"/>
        <w:spacing w:before="120"/>
        <w:ind w:firstLine="720"/>
        <w:jc w:val="both"/>
        <w:rPr>
          <w:b/>
          <w:szCs w:val="28"/>
        </w:rPr>
      </w:pPr>
      <w:r w:rsidRPr="008F726B">
        <w:rPr>
          <w:b/>
          <w:szCs w:val="28"/>
        </w:rPr>
        <w:t>ІІІ. Визначення та оцінка альтернативних способів досягнення визначених цілей</w:t>
      </w:r>
    </w:p>
    <w:p w:rsidR="00D44042" w:rsidRPr="008F726B" w:rsidRDefault="00D44042" w:rsidP="00980E75">
      <w:pPr>
        <w:pStyle w:val="StyleZakonu"/>
        <w:spacing w:before="120" w:after="0" w:line="240" w:lineRule="auto"/>
        <w:ind w:firstLine="720"/>
        <w:rPr>
          <w:sz w:val="28"/>
          <w:szCs w:val="28"/>
        </w:rPr>
      </w:pPr>
      <w:r w:rsidRPr="008F726B">
        <w:rPr>
          <w:sz w:val="28"/>
          <w:szCs w:val="28"/>
        </w:rPr>
        <w:t>1. Альтернативні способи досягнення цілей державного регулювання</w:t>
      </w:r>
    </w:p>
    <w:tbl>
      <w:tblPr>
        <w:tblW w:w="4912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43"/>
        <w:gridCol w:w="7301"/>
      </w:tblGrid>
      <w:tr w:rsidR="00D44042" w:rsidRPr="008F726B" w:rsidTr="003853C4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3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Опис альтернативи</w:t>
            </w:r>
          </w:p>
        </w:tc>
      </w:tr>
      <w:tr w:rsidR="00D44042" w:rsidRPr="008F726B" w:rsidTr="003853C4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3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Збереження існуючого стану</w:t>
            </w:r>
          </w:p>
        </w:tc>
      </w:tr>
      <w:tr w:rsidR="00D44042" w:rsidRPr="008F726B" w:rsidTr="003853C4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Альтернатива 2</w:t>
            </w:r>
          </w:p>
        </w:tc>
        <w:tc>
          <w:tcPr>
            <w:tcW w:w="3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5A559C" w:rsidP="00FE0C02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Внесення</w:t>
            </w:r>
            <w:r w:rsidR="00D44042" w:rsidRPr="008F726B">
              <w:rPr>
                <w:sz w:val="24"/>
                <w:szCs w:val="24"/>
              </w:rPr>
              <w:t xml:space="preserve"> змін до </w:t>
            </w:r>
            <w:r w:rsidR="00FE0C02" w:rsidRPr="008F726B">
              <w:rPr>
                <w:sz w:val="24"/>
                <w:szCs w:val="24"/>
              </w:rPr>
              <w:t>Митного кодексу України</w:t>
            </w:r>
            <w:r w:rsidR="00D44042" w:rsidRPr="008F726B">
              <w:rPr>
                <w:sz w:val="24"/>
                <w:szCs w:val="24"/>
              </w:rPr>
              <w:t>, що пропонуються</w:t>
            </w:r>
            <w:r w:rsidRPr="008F726B">
              <w:rPr>
                <w:sz w:val="24"/>
                <w:szCs w:val="24"/>
              </w:rPr>
              <w:t xml:space="preserve"> актом</w:t>
            </w:r>
          </w:p>
        </w:tc>
      </w:tr>
    </w:tbl>
    <w:p w:rsidR="00D44042" w:rsidRPr="008F726B" w:rsidRDefault="00D44042" w:rsidP="00980E75">
      <w:pPr>
        <w:pStyle w:val="aa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2. Оцінка впливу на сферу інтересів держави:</w:t>
      </w:r>
    </w:p>
    <w:tbl>
      <w:tblPr>
        <w:tblW w:w="4973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68"/>
        <w:gridCol w:w="3858"/>
        <w:gridCol w:w="3838"/>
      </w:tblGrid>
      <w:tr w:rsidR="00D44042" w:rsidRPr="008F726B" w:rsidTr="00875FD2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Вид альтернативи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Вигоди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Витрати</w:t>
            </w:r>
          </w:p>
        </w:tc>
      </w:tr>
      <w:tr w:rsidR="00D44042" w:rsidRPr="008F726B" w:rsidTr="00875FD2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8F726B">
              <w:rPr>
                <w:lang w:val="uk-UA"/>
              </w:rPr>
              <w:t>Альтернатива 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Відсутні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66F" w:rsidRPr="008F726B" w:rsidRDefault="00DE63D7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У</w:t>
            </w:r>
            <w:r w:rsidR="005A559C" w:rsidRPr="008F726B">
              <w:rPr>
                <w:color w:val="000000"/>
                <w:sz w:val="24"/>
                <w:szCs w:val="24"/>
                <w:lang w:eastAsia="uk-UA"/>
              </w:rPr>
              <w:t>ник</w:t>
            </w:r>
            <w:r w:rsidR="0006452C" w:rsidRPr="008F726B">
              <w:rPr>
                <w:color w:val="000000"/>
                <w:sz w:val="24"/>
                <w:szCs w:val="24"/>
                <w:lang w:eastAsia="uk-UA"/>
              </w:rPr>
              <w:t>нення</w:t>
            </w:r>
            <w:r w:rsidR="008D666F" w:rsidRPr="008F726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6452C" w:rsidRPr="008F726B">
              <w:rPr>
                <w:color w:val="000000"/>
                <w:sz w:val="24"/>
                <w:szCs w:val="24"/>
                <w:lang w:eastAsia="uk-UA"/>
              </w:rPr>
              <w:t xml:space="preserve">правопорушниками </w:t>
            </w:r>
            <w:r w:rsidR="008D666F" w:rsidRPr="008F726B">
              <w:rPr>
                <w:color w:val="000000"/>
                <w:sz w:val="24"/>
                <w:szCs w:val="24"/>
                <w:lang w:eastAsia="uk-UA"/>
              </w:rPr>
              <w:t>відповідальності за вчинення ПМП;</w:t>
            </w:r>
            <w:r w:rsidR="008D666F" w:rsidRPr="008F726B">
              <w:rPr>
                <w:sz w:val="24"/>
                <w:szCs w:val="24"/>
              </w:rPr>
              <w:t xml:space="preserve"> </w:t>
            </w:r>
          </w:p>
          <w:p w:rsidR="00875FD2" w:rsidRPr="008F726B" w:rsidRDefault="0006452C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невиконання </w:t>
            </w:r>
            <w:r w:rsidR="00875FD2" w:rsidRPr="008F726B">
              <w:rPr>
                <w:sz w:val="24"/>
                <w:szCs w:val="24"/>
              </w:rPr>
              <w:t xml:space="preserve">постанов </w:t>
            </w:r>
            <w:r w:rsidR="00E60364">
              <w:rPr>
                <w:sz w:val="24"/>
                <w:szCs w:val="24"/>
              </w:rPr>
              <w:t>у</w:t>
            </w:r>
            <w:r w:rsidR="00875FD2" w:rsidRPr="008F726B">
              <w:rPr>
                <w:sz w:val="24"/>
                <w:szCs w:val="24"/>
              </w:rPr>
              <w:t xml:space="preserve"> справах про </w:t>
            </w:r>
            <w:r w:rsidR="005A559C" w:rsidRPr="008F726B">
              <w:rPr>
                <w:sz w:val="24"/>
                <w:szCs w:val="24"/>
              </w:rPr>
              <w:t>ПМП</w:t>
            </w:r>
            <w:r w:rsidR="00875FD2" w:rsidRPr="008F726B">
              <w:rPr>
                <w:sz w:val="24"/>
                <w:szCs w:val="24"/>
              </w:rPr>
              <w:t xml:space="preserve"> </w:t>
            </w:r>
            <w:r w:rsidR="00E60364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частині стягнення штрафів та конфіскації предметів ПМП</w:t>
            </w:r>
            <w:r w:rsidR="00875FD2" w:rsidRPr="008F726B">
              <w:rPr>
                <w:sz w:val="24"/>
                <w:szCs w:val="24"/>
              </w:rPr>
              <w:t>;</w:t>
            </w:r>
          </w:p>
          <w:p w:rsidR="00875FD2" w:rsidRPr="008F726B" w:rsidRDefault="0006452C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недотримання </w:t>
            </w:r>
            <w:r w:rsidR="003056EE" w:rsidRPr="008F726B">
              <w:rPr>
                <w:sz w:val="24"/>
                <w:szCs w:val="24"/>
              </w:rPr>
              <w:t xml:space="preserve">умов </w:t>
            </w:r>
            <w:r w:rsidR="00875FD2" w:rsidRPr="008F726B">
              <w:rPr>
                <w:sz w:val="24"/>
                <w:szCs w:val="24"/>
              </w:rPr>
              <w:t xml:space="preserve">митних режимів </w:t>
            </w:r>
            <w:r w:rsidR="00314A1E" w:rsidRPr="008F726B">
              <w:rPr>
                <w:sz w:val="24"/>
                <w:szCs w:val="24"/>
              </w:rPr>
              <w:t>"</w:t>
            </w:r>
            <w:r w:rsidR="00875FD2" w:rsidRPr="008F726B">
              <w:rPr>
                <w:sz w:val="24"/>
                <w:szCs w:val="24"/>
              </w:rPr>
              <w:t>транзит</w:t>
            </w:r>
            <w:r w:rsidR="00314A1E" w:rsidRPr="008F726B">
              <w:rPr>
                <w:sz w:val="24"/>
                <w:szCs w:val="24"/>
              </w:rPr>
              <w:t>"</w:t>
            </w:r>
            <w:r w:rsidR="00875FD2" w:rsidRPr="008F726B">
              <w:rPr>
                <w:sz w:val="24"/>
                <w:szCs w:val="24"/>
              </w:rPr>
              <w:t xml:space="preserve"> та </w:t>
            </w:r>
            <w:r w:rsidR="00314A1E" w:rsidRPr="008F726B">
              <w:rPr>
                <w:sz w:val="24"/>
                <w:szCs w:val="24"/>
              </w:rPr>
              <w:t>"</w:t>
            </w:r>
            <w:r w:rsidR="00875FD2" w:rsidRPr="008F726B">
              <w:rPr>
                <w:sz w:val="24"/>
                <w:szCs w:val="24"/>
              </w:rPr>
              <w:t xml:space="preserve">тимчасове </w:t>
            </w:r>
            <w:r w:rsidR="003056EE" w:rsidRPr="008F726B">
              <w:rPr>
                <w:sz w:val="24"/>
                <w:szCs w:val="24"/>
              </w:rPr>
              <w:t>в</w:t>
            </w:r>
            <w:r w:rsidR="00875FD2" w:rsidRPr="008F726B">
              <w:rPr>
                <w:sz w:val="24"/>
                <w:szCs w:val="24"/>
              </w:rPr>
              <w:t>везення/вивезення</w:t>
            </w:r>
            <w:r w:rsidR="00314A1E" w:rsidRPr="008F726B">
              <w:rPr>
                <w:sz w:val="24"/>
                <w:szCs w:val="24"/>
              </w:rPr>
              <w:t>"</w:t>
            </w:r>
            <w:r w:rsidR="00875FD2" w:rsidRPr="008F726B">
              <w:rPr>
                <w:sz w:val="24"/>
                <w:szCs w:val="24"/>
              </w:rPr>
              <w:t>;</w:t>
            </w:r>
          </w:p>
          <w:p w:rsidR="00D44042" w:rsidRPr="008F726B" w:rsidRDefault="0006452C" w:rsidP="00E60364">
            <w:pPr>
              <w:widowControl w:val="0"/>
              <w:ind w:right="120" w:firstLine="357"/>
              <w:jc w:val="both"/>
              <w:rPr>
                <w:sz w:val="24"/>
                <w:szCs w:val="24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низька ефективність практики застосування</w:t>
            </w:r>
            <w:r w:rsidR="008D666F" w:rsidRPr="008F726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компромісу у справах про ПМП (значні витрати бюджетних коштів на знищення та реалізацію предметів ПМП, при цьому відсутня можливість після добро</w:t>
            </w:r>
            <w:r w:rsidR="00E60364">
              <w:rPr>
                <w:color w:val="000000"/>
                <w:sz w:val="24"/>
                <w:szCs w:val="24"/>
                <w:lang w:eastAsia="uk-UA"/>
              </w:rPr>
              <w:t>вільної сплати штрафних санкцій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C35AB" w:rsidRPr="008F726B">
              <w:rPr>
                <w:color w:val="000000"/>
                <w:sz w:val="24"/>
                <w:szCs w:val="24"/>
                <w:lang w:eastAsia="uk-UA"/>
              </w:rPr>
              <w:t xml:space="preserve">сплати також у повному обсязі встановлених митних платежів та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 xml:space="preserve">випуску товарів </w:t>
            </w:r>
            <w:r w:rsidR="00BC35AB" w:rsidRPr="008F726B">
              <w:rPr>
                <w:color w:val="000000"/>
                <w:sz w:val="24"/>
                <w:szCs w:val="24"/>
                <w:lang w:eastAsia="uk-UA"/>
              </w:rPr>
              <w:t xml:space="preserve">і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транспортних засобів у вільний обіг)</w:t>
            </w:r>
          </w:p>
        </w:tc>
      </w:tr>
      <w:tr w:rsidR="00D44042" w:rsidRPr="008F726B" w:rsidTr="00875FD2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rPr>
                <w:highlight w:val="yellow"/>
                <w:lang w:val="uk-UA"/>
              </w:rPr>
            </w:pPr>
            <w:r w:rsidRPr="008F726B">
              <w:rPr>
                <w:lang w:val="uk-UA"/>
              </w:rPr>
              <w:t>Альтернатива 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DE63D7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Р</w:t>
            </w:r>
            <w:r w:rsidR="0017524F" w:rsidRPr="008F726B">
              <w:rPr>
                <w:sz w:val="24"/>
                <w:szCs w:val="24"/>
              </w:rPr>
              <w:t>озширення пр</w:t>
            </w:r>
            <w:r w:rsidR="00E60364">
              <w:rPr>
                <w:sz w:val="24"/>
                <w:szCs w:val="24"/>
              </w:rPr>
              <w:t>актики застосування компромісу у</w:t>
            </w:r>
            <w:r w:rsidR="0017524F" w:rsidRPr="008F726B">
              <w:rPr>
                <w:sz w:val="24"/>
                <w:szCs w:val="24"/>
              </w:rPr>
              <w:t xml:space="preserve"> справах про </w:t>
            </w:r>
            <w:r w:rsidR="005A559C" w:rsidRPr="008F726B">
              <w:rPr>
                <w:sz w:val="24"/>
                <w:szCs w:val="24"/>
              </w:rPr>
              <w:t>ПМП</w:t>
            </w:r>
            <w:r w:rsidR="00124708" w:rsidRPr="008F726B">
              <w:rPr>
                <w:sz w:val="24"/>
                <w:szCs w:val="24"/>
              </w:rPr>
              <w:t>, що знизить навантаження на судові органи;</w:t>
            </w:r>
            <w:r w:rsidR="0017524F" w:rsidRPr="008F726B">
              <w:rPr>
                <w:sz w:val="24"/>
                <w:szCs w:val="24"/>
              </w:rPr>
              <w:t xml:space="preserve"> </w:t>
            </w:r>
          </w:p>
          <w:p w:rsidR="00E40CC9" w:rsidRPr="008F726B" w:rsidRDefault="008D666F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усуне</w:t>
            </w:r>
            <w:r w:rsidR="00E40CC9" w:rsidRPr="008F726B">
              <w:rPr>
                <w:sz w:val="24"/>
                <w:szCs w:val="24"/>
              </w:rPr>
              <w:t>ння</w:t>
            </w:r>
            <w:r w:rsidR="0017524F" w:rsidRPr="008F726B">
              <w:rPr>
                <w:sz w:val="24"/>
                <w:szCs w:val="24"/>
              </w:rPr>
              <w:t xml:space="preserve"> </w:t>
            </w:r>
            <w:r w:rsidR="00E40CC9" w:rsidRPr="008F726B">
              <w:rPr>
                <w:sz w:val="24"/>
                <w:szCs w:val="24"/>
              </w:rPr>
              <w:t xml:space="preserve">прогалин </w:t>
            </w:r>
            <w:r w:rsidR="00E60364">
              <w:rPr>
                <w:sz w:val="24"/>
                <w:szCs w:val="24"/>
              </w:rPr>
              <w:t>у</w:t>
            </w:r>
            <w:r w:rsidR="00E40CC9" w:rsidRPr="008F726B">
              <w:rPr>
                <w:sz w:val="24"/>
                <w:szCs w:val="24"/>
              </w:rPr>
              <w:t xml:space="preserve"> законодавстві,</w:t>
            </w:r>
            <w:r w:rsidRPr="008F726B">
              <w:rPr>
                <w:sz w:val="24"/>
                <w:szCs w:val="24"/>
              </w:rPr>
              <w:t xml:space="preserve"> </w:t>
            </w:r>
            <w:r w:rsidR="00E40CC9" w:rsidRPr="008F726B">
              <w:rPr>
                <w:color w:val="000000"/>
                <w:sz w:val="24"/>
                <w:szCs w:val="24"/>
                <w:lang w:eastAsia="uk-UA"/>
              </w:rPr>
              <w:t xml:space="preserve">які </w:t>
            </w:r>
            <w:r w:rsidR="005A559C" w:rsidRPr="008F726B">
              <w:rPr>
                <w:color w:val="000000"/>
                <w:sz w:val="24"/>
                <w:szCs w:val="24"/>
                <w:lang w:eastAsia="uk-UA"/>
              </w:rPr>
              <w:t>дозволяють уника</w:t>
            </w:r>
            <w:r w:rsidR="00E40CC9" w:rsidRPr="008F726B">
              <w:rPr>
                <w:color w:val="000000"/>
                <w:sz w:val="24"/>
                <w:szCs w:val="24"/>
                <w:lang w:eastAsia="uk-UA"/>
              </w:rPr>
              <w:t>ти відповідальності за вчинення ПМП;</w:t>
            </w:r>
            <w:r w:rsidR="00E40CC9" w:rsidRPr="008F726B">
              <w:rPr>
                <w:sz w:val="24"/>
                <w:szCs w:val="24"/>
              </w:rPr>
              <w:t xml:space="preserve"> </w:t>
            </w:r>
          </w:p>
          <w:p w:rsidR="00542853" w:rsidRPr="008F726B" w:rsidRDefault="00542853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дотримання умов митних режимів </w:t>
            </w:r>
            <w:r w:rsidR="00314A1E" w:rsidRPr="008F726B">
              <w:rPr>
                <w:sz w:val="24"/>
                <w:szCs w:val="24"/>
              </w:rPr>
              <w:t>"</w:t>
            </w:r>
            <w:r w:rsidR="003056EE" w:rsidRPr="008F726B">
              <w:rPr>
                <w:sz w:val="24"/>
                <w:szCs w:val="24"/>
              </w:rPr>
              <w:t>транзит</w:t>
            </w:r>
            <w:r w:rsidR="00314A1E" w:rsidRPr="008F726B">
              <w:rPr>
                <w:sz w:val="24"/>
                <w:szCs w:val="24"/>
              </w:rPr>
              <w:t>"</w:t>
            </w:r>
            <w:r w:rsidR="003056EE" w:rsidRPr="008F726B">
              <w:rPr>
                <w:sz w:val="24"/>
                <w:szCs w:val="24"/>
              </w:rPr>
              <w:t xml:space="preserve"> та </w:t>
            </w:r>
            <w:r w:rsidR="00314A1E" w:rsidRPr="008F726B">
              <w:rPr>
                <w:sz w:val="24"/>
                <w:szCs w:val="24"/>
              </w:rPr>
              <w:t>"</w:t>
            </w:r>
            <w:r w:rsidR="003056EE" w:rsidRPr="008F726B">
              <w:rPr>
                <w:sz w:val="24"/>
                <w:szCs w:val="24"/>
              </w:rPr>
              <w:t>тимчасове ввезення/вивезення</w:t>
            </w:r>
            <w:r w:rsidR="00314A1E" w:rsidRPr="008F726B">
              <w:rPr>
                <w:sz w:val="24"/>
                <w:szCs w:val="24"/>
              </w:rPr>
              <w:t>"</w:t>
            </w:r>
            <w:r w:rsidR="003056EE" w:rsidRPr="008F726B">
              <w:rPr>
                <w:sz w:val="24"/>
                <w:szCs w:val="24"/>
              </w:rPr>
              <w:t>;</w:t>
            </w:r>
          </w:p>
          <w:p w:rsidR="003056EE" w:rsidRPr="008F726B" w:rsidRDefault="003056EE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виконання </w:t>
            </w:r>
            <w:r w:rsidR="00BC35AB" w:rsidRPr="008F726B">
              <w:rPr>
                <w:sz w:val="24"/>
                <w:szCs w:val="24"/>
              </w:rPr>
              <w:t xml:space="preserve">у повному обсязі </w:t>
            </w:r>
            <w:r w:rsidR="00E60364">
              <w:rPr>
                <w:sz w:val="24"/>
                <w:szCs w:val="24"/>
              </w:rPr>
              <w:t>постанов у</w:t>
            </w:r>
            <w:r w:rsidRPr="008F726B">
              <w:rPr>
                <w:sz w:val="24"/>
                <w:szCs w:val="24"/>
              </w:rPr>
              <w:t xml:space="preserve"> справах про </w:t>
            </w:r>
            <w:r w:rsidR="00E40CC9" w:rsidRPr="008F726B">
              <w:rPr>
                <w:sz w:val="24"/>
                <w:szCs w:val="24"/>
              </w:rPr>
              <w:t>ПМП</w:t>
            </w:r>
            <w:r w:rsidR="00BC35AB" w:rsidRPr="008F726B">
              <w:rPr>
                <w:sz w:val="24"/>
                <w:szCs w:val="24"/>
              </w:rPr>
              <w:t xml:space="preserve"> </w:t>
            </w:r>
            <w:r w:rsidR="00E60364">
              <w:rPr>
                <w:sz w:val="24"/>
                <w:szCs w:val="24"/>
              </w:rPr>
              <w:t>у</w:t>
            </w:r>
            <w:r w:rsidR="00BC35AB" w:rsidRPr="008F726B">
              <w:rPr>
                <w:sz w:val="24"/>
                <w:szCs w:val="24"/>
              </w:rPr>
              <w:t xml:space="preserve"> </w:t>
            </w:r>
            <w:r w:rsidR="00BC35AB" w:rsidRPr="008F726B">
              <w:rPr>
                <w:sz w:val="24"/>
                <w:szCs w:val="24"/>
              </w:rPr>
              <w:lastRenderedPageBreak/>
              <w:t>частині сплати штрафів та конфіскації предметів правопорушення</w:t>
            </w:r>
            <w:r w:rsidRPr="008F726B">
              <w:rPr>
                <w:sz w:val="24"/>
                <w:szCs w:val="24"/>
              </w:rPr>
              <w:t xml:space="preserve">; </w:t>
            </w:r>
          </w:p>
          <w:p w:rsidR="00D44042" w:rsidRPr="008F726B" w:rsidRDefault="005A559C" w:rsidP="00E60364">
            <w:pPr>
              <w:widowControl w:val="0"/>
              <w:ind w:right="120" w:firstLine="295"/>
              <w:jc w:val="both"/>
              <w:rPr>
                <w:sz w:val="24"/>
                <w:szCs w:val="24"/>
                <w:highlight w:val="yellow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сприяння</w:t>
            </w:r>
            <w:r w:rsidR="00E40CC9" w:rsidRPr="008F726B">
              <w:rPr>
                <w:color w:val="000000"/>
                <w:sz w:val="24"/>
                <w:szCs w:val="24"/>
                <w:lang w:eastAsia="uk-UA"/>
              </w:rPr>
              <w:t xml:space="preserve"> додатковим надход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женням до бюджету та мінімізацію</w:t>
            </w:r>
            <w:r w:rsidR="00E40CC9" w:rsidRPr="008F726B">
              <w:rPr>
                <w:color w:val="000000"/>
                <w:sz w:val="24"/>
                <w:szCs w:val="24"/>
                <w:lang w:eastAsia="uk-UA"/>
              </w:rPr>
              <w:t xml:space="preserve"> витрат на реалізацію та знищен</w:t>
            </w:r>
            <w:r w:rsidR="00E60364">
              <w:rPr>
                <w:color w:val="000000"/>
                <w:sz w:val="24"/>
                <w:szCs w:val="24"/>
                <w:lang w:eastAsia="uk-UA"/>
              </w:rPr>
              <w:t>ня товарів, що є предметами ПМП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17524F" w:rsidP="00980E75">
            <w:pPr>
              <w:pStyle w:val="aa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lastRenderedPageBreak/>
              <w:t>Відсутні</w:t>
            </w:r>
          </w:p>
        </w:tc>
      </w:tr>
    </w:tbl>
    <w:p w:rsidR="00D44042" w:rsidRPr="008F726B" w:rsidRDefault="00D44042" w:rsidP="00980E75">
      <w:pPr>
        <w:pStyle w:val="aa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lastRenderedPageBreak/>
        <w:t xml:space="preserve">3. </w:t>
      </w:r>
      <w:r w:rsidR="00124708" w:rsidRPr="008F726B">
        <w:rPr>
          <w:sz w:val="28"/>
          <w:szCs w:val="28"/>
          <w:lang w:val="uk-UA"/>
        </w:rPr>
        <w:t>Оцінка впливу на сферу інтересів громадян</w:t>
      </w:r>
    </w:p>
    <w:tbl>
      <w:tblPr>
        <w:tblW w:w="4973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68"/>
        <w:gridCol w:w="3858"/>
        <w:gridCol w:w="3838"/>
      </w:tblGrid>
      <w:tr w:rsidR="00124708" w:rsidRPr="008F726B" w:rsidTr="003853C4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Вид альтернативи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Вигоди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Витрати</w:t>
            </w:r>
          </w:p>
        </w:tc>
      </w:tr>
      <w:tr w:rsidR="00124708" w:rsidRPr="008F726B" w:rsidTr="003853C4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8F726B">
              <w:rPr>
                <w:lang w:val="uk-UA"/>
              </w:rPr>
              <w:t>Альтернатива 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Відсутні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Відсутні</w:t>
            </w:r>
          </w:p>
        </w:tc>
      </w:tr>
      <w:tr w:rsidR="00124708" w:rsidRPr="008F726B" w:rsidTr="003853C4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8F726B" w:rsidRDefault="00124708" w:rsidP="00980E75">
            <w:pPr>
              <w:pStyle w:val="aa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8F726B">
              <w:rPr>
                <w:lang w:val="uk-UA"/>
              </w:rPr>
              <w:t>Альтернатива 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53" w:rsidRPr="008F726B" w:rsidRDefault="004C2D6A" w:rsidP="00513E41">
            <w:pPr>
              <w:ind w:firstLine="300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Р</w:t>
            </w:r>
            <w:r w:rsidR="00124708" w:rsidRPr="008F726B">
              <w:rPr>
                <w:sz w:val="24"/>
                <w:szCs w:val="24"/>
              </w:rPr>
              <w:t>озширення пр</w:t>
            </w:r>
            <w:r w:rsidR="00BC35AB" w:rsidRPr="008F726B">
              <w:rPr>
                <w:sz w:val="24"/>
                <w:szCs w:val="24"/>
              </w:rPr>
              <w:t>актики застосування компромісу у</w:t>
            </w:r>
            <w:r w:rsidR="00124708" w:rsidRPr="008F726B">
              <w:rPr>
                <w:sz w:val="24"/>
                <w:szCs w:val="24"/>
              </w:rPr>
              <w:t xml:space="preserve"> справах про </w:t>
            </w:r>
            <w:r w:rsidR="00E40CC9" w:rsidRPr="008F726B">
              <w:rPr>
                <w:sz w:val="24"/>
                <w:szCs w:val="24"/>
              </w:rPr>
              <w:t>ПМП</w:t>
            </w:r>
            <w:r w:rsidR="00542853" w:rsidRPr="008F726B">
              <w:rPr>
                <w:sz w:val="24"/>
                <w:szCs w:val="24"/>
              </w:rPr>
              <w:t>;</w:t>
            </w:r>
          </w:p>
          <w:p w:rsidR="00124708" w:rsidRPr="008F726B" w:rsidRDefault="004C2D6A" w:rsidP="00513E41">
            <w:pPr>
              <w:ind w:firstLine="300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 єдина практика</w:t>
            </w:r>
            <w:r w:rsidR="00124708" w:rsidRPr="008F726B">
              <w:rPr>
                <w:sz w:val="24"/>
                <w:szCs w:val="24"/>
              </w:rPr>
              <w:t xml:space="preserve"> застосування судами  законодавства при розгляді справ про </w:t>
            </w:r>
            <w:r w:rsidR="00E40CC9" w:rsidRPr="008F726B">
              <w:rPr>
                <w:sz w:val="24"/>
                <w:szCs w:val="24"/>
              </w:rPr>
              <w:t>ПМП</w:t>
            </w:r>
            <w:r w:rsidR="00124708" w:rsidRPr="008F726B">
              <w:rPr>
                <w:sz w:val="24"/>
                <w:szCs w:val="24"/>
              </w:rPr>
              <w:t xml:space="preserve"> </w:t>
            </w:r>
            <w:r w:rsidR="00E40CC9" w:rsidRPr="008F726B">
              <w:rPr>
                <w:sz w:val="24"/>
                <w:szCs w:val="24"/>
              </w:rPr>
              <w:t>та визначення</w:t>
            </w:r>
            <w:r w:rsidR="00124708" w:rsidRPr="008F726B">
              <w:rPr>
                <w:sz w:val="24"/>
                <w:szCs w:val="24"/>
              </w:rPr>
              <w:t xml:space="preserve"> строків накладе</w:t>
            </w:r>
            <w:r w:rsidR="00BC35AB" w:rsidRPr="008F726B">
              <w:rPr>
                <w:sz w:val="24"/>
                <w:szCs w:val="24"/>
              </w:rPr>
              <w:t>ння адміністративних стягнень</w:t>
            </w:r>
            <w:r w:rsidR="00E40CC9" w:rsidRPr="008F726B">
              <w:rPr>
                <w:sz w:val="24"/>
                <w:szCs w:val="24"/>
              </w:rPr>
              <w:t>;</w:t>
            </w:r>
          </w:p>
          <w:p w:rsidR="00E40CC9" w:rsidRPr="008F726B" w:rsidRDefault="00E40CC9" w:rsidP="00E60364">
            <w:pPr>
              <w:ind w:firstLine="300"/>
              <w:jc w:val="both"/>
              <w:rPr>
                <w:sz w:val="24"/>
                <w:szCs w:val="24"/>
                <w:highlight w:val="yellow"/>
              </w:rPr>
            </w:pPr>
            <w:r w:rsidRPr="008F726B">
              <w:rPr>
                <w:color w:val="222222"/>
                <w:sz w:val="24"/>
                <w:szCs w:val="24"/>
              </w:rPr>
              <w:t>ефективн</w:t>
            </w:r>
            <w:r w:rsidR="00DB6A04" w:rsidRPr="008F726B">
              <w:rPr>
                <w:color w:val="222222"/>
                <w:sz w:val="24"/>
                <w:szCs w:val="24"/>
              </w:rPr>
              <w:t>е</w:t>
            </w:r>
            <w:r w:rsidR="004C2D6A" w:rsidRPr="008F726B">
              <w:rPr>
                <w:color w:val="222222"/>
                <w:sz w:val="24"/>
                <w:szCs w:val="24"/>
              </w:rPr>
              <w:t xml:space="preserve"> запобігання та протидія</w:t>
            </w:r>
            <w:r w:rsidRPr="008F726B">
              <w:rPr>
                <w:color w:val="222222"/>
                <w:sz w:val="24"/>
                <w:szCs w:val="24"/>
              </w:rPr>
              <w:t xml:space="preserve"> контрабанді та ПМП на митній території України</w:t>
            </w:r>
            <w:r w:rsidR="00DB6A04" w:rsidRPr="008F726B">
              <w:rPr>
                <w:color w:val="222222"/>
                <w:sz w:val="24"/>
                <w:szCs w:val="24"/>
              </w:rPr>
              <w:t>, що</w:t>
            </w:r>
            <w:r w:rsidRPr="008F726B">
              <w:rPr>
                <w:color w:val="222222"/>
                <w:sz w:val="24"/>
                <w:szCs w:val="24"/>
              </w:rPr>
              <w:t xml:space="preserve"> </w:t>
            </w:r>
            <w:r w:rsidR="00DB6A04" w:rsidRPr="008F726B">
              <w:rPr>
                <w:color w:val="222222"/>
                <w:sz w:val="24"/>
                <w:szCs w:val="24"/>
              </w:rPr>
              <w:t xml:space="preserve">створить сприятливі та конкурентні умови для здійснення господарської діяльності   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35AB" w:rsidRPr="008F726B" w:rsidRDefault="00BC35AB" w:rsidP="00BC35AB">
            <w:pPr>
              <w:spacing w:before="120"/>
              <w:ind w:firstLine="358"/>
              <w:jc w:val="both"/>
              <w:rPr>
                <w:sz w:val="24"/>
                <w:szCs w:val="24"/>
              </w:rPr>
            </w:pP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Посилення адміністративної </w:t>
            </w:r>
            <w:r w:rsidR="00DE63D7" w:rsidRPr="008F726B">
              <w:rPr>
                <w:rFonts w:eastAsiaTheme="minorHAnsi"/>
                <w:sz w:val="24"/>
                <w:szCs w:val="24"/>
                <w:lang w:eastAsia="en-US"/>
              </w:rPr>
              <w:t>відповідальності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за порушення вимог митн</w:t>
            </w:r>
            <w:r w:rsidR="00E60364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режим</w:t>
            </w:r>
            <w:r w:rsidR="00E60364">
              <w:rPr>
                <w:rFonts w:eastAsiaTheme="minorHAnsi"/>
                <w:sz w:val="24"/>
                <w:szCs w:val="24"/>
                <w:lang w:eastAsia="en-US"/>
              </w:rPr>
              <w:t>ів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"транзит" та "тимчасове ввезення/вивезення"</w:t>
            </w:r>
          </w:p>
          <w:p w:rsidR="00124708" w:rsidRPr="008F726B" w:rsidRDefault="00124708" w:rsidP="00980E75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</w:p>
        </w:tc>
      </w:tr>
    </w:tbl>
    <w:p w:rsidR="00D44042" w:rsidRPr="008F726B" w:rsidRDefault="00D44042" w:rsidP="00513E41">
      <w:pPr>
        <w:pStyle w:val="aa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4. Оцінка впливу на сферу інтересів суб’єктів господарювання, у тому числі суб’єктів малого підприємництва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53"/>
        <w:gridCol w:w="3990"/>
        <w:gridCol w:w="3674"/>
      </w:tblGrid>
      <w:tr w:rsidR="00D44042" w:rsidRPr="008F726B" w:rsidTr="003056EE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513E4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Вид альтернативи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513E4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Вигоди</w:t>
            </w: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513E4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Витрати</w:t>
            </w:r>
          </w:p>
        </w:tc>
      </w:tr>
      <w:tr w:rsidR="00D44042" w:rsidRPr="008F726B" w:rsidTr="003056EE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513E41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8F726B">
              <w:rPr>
                <w:lang w:val="uk-UA"/>
              </w:rPr>
              <w:t>Альтернатива 1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53" w:rsidRPr="008F726B" w:rsidRDefault="00542853" w:rsidP="00513E41">
            <w:pPr>
              <w:pStyle w:val="aa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Відсутні</w:t>
            </w:r>
          </w:p>
          <w:p w:rsidR="00542853" w:rsidRPr="008F726B" w:rsidRDefault="00542853" w:rsidP="00513E41">
            <w:pPr>
              <w:pStyle w:val="aa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</w:p>
          <w:p w:rsidR="00D44042" w:rsidRPr="008F726B" w:rsidRDefault="00D44042" w:rsidP="00513E41">
            <w:pPr>
              <w:pStyle w:val="aa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8F726B" w:rsidRDefault="00542853" w:rsidP="00513E41">
            <w:pPr>
              <w:ind w:firstLine="222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Відсутність можливості </w:t>
            </w:r>
            <w:r w:rsidR="006C6886" w:rsidRPr="008F726B">
              <w:rPr>
                <w:sz w:val="24"/>
                <w:szCs w:val="24"/>
              </w:rPr>
              <w:t xml:space="preserve">поширення процедури компромісу на  справи про ПМП, предметами порушення яких є </w:t>
            </w:r>
            <w:r w:rsidR="000C0BAB" w:rsidRPr="008F726B">
              <w:rPr>
                <w:sz w:val="24"/>
                <w:szCs w:val="24"/>
              </w:rPr>
              <w:t>українські товари</w:t>
            </w:r>
            <w:r w:rsidR="00253E63" w:rsidRPr="008F726B">
              <w:rPr>
                <w:sz w:val="24"/>
                <w:szCs w:val="24"/>
              </w:rPr>
              <w:t>, а також можливості, у разі укладення мирової угоди, декларувати</w:t>
            </w:r>
            <w:r w:rsidR="006C6886" w:rsidRPr="008F726B">
              <w:rPr>
                <w:sz w:val="24"/>
                <w:szCs w:val="24"/>
              </w:rPr>
              <w:t xml:space="preserve"> товар</w:t>
            </w:r>
            <w:r w:rsidR="00253E63" w:rsidRPr="008F726B">
              <w:rPr>
                <w:sz w:val="24"/>
                <w:szCs w:val="24"/>
              </w:rPr>
              <w:t>и та транспортні засоби</w:t>
            </w:r>
            <w:r w:rsidR="006C6886" w:rsidRPr="008F726B">
              <w:rPr>
                <w:sz w:val="24"/>
                <w:szCs w:val="24"/>
              </w:rPr>
              <w:t xml:space="preserve"> у </w:t>
            </w:r>
            <w:r w:rsidR="00253E63" w:rsidRPr="008F726B">
              <w:rPr>
                <w:sz w:val="24"/>
                <w:szCs w:val="24"/>
              </w:rPr>
              <w:t>митний режим, який передбачає випуск у вільний обіг</w:t>
            </w:r>
            <w:r w:rsidR="006C6886" w:rsidRPr="008F726B">
              <w:rPr>
                <w:sz w:val="24"/>
                <w:szCs w:val="24"/>
              </w:rPr>
              <w:t>;</w:t>
            </w:r>
          </w:p>
          <w:p w:rsidR="006C6886" w:rsidRPr="008F726B" w:rsidRDefault="006C6886" w:rsidP="00E60364">
            <w:pPr>
              <w:ind w:firstLine="222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відсутність єдиної практики застосування судами  законодавства при розгляді справ про ПМП та визначення строків накладення адміністративного стягнення</w:t>
            </w:r>
          </w:p>
        </w:tc>
      </w:tr>
      <w:tr w:rsidR="00D44042" w:rsidRPr="008F726B" w:rsidTr="003056EE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513E41">
            <w:pPr>
              <w:pStyle w:val="aa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8F726B">
              <w:rPr>
                <w:lang w:val="uk-UA"/>
              </w:rPr>
              <w:t>Альтернатива 2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4C2D6A" w:rsidP="00513E41">
            <w:pPr>
              <w:ind w:firstLine="21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П</w:t>
            </w:r>
            <w:r w:rsidR="00542853" w:rsidRPr="008F726B">
              <w:rPr>
                <w:sz w:val="24"/>
                <w:szCs w:val="24"/>
              </w:rPr>
              <w:t>ошир</w:t>
            </w:r>
            <w:r w:rsidR="003056EE" w:rsidRPr="008F726B">
              <w:rPr>
                <w:sz w:val="24"/>
                <w:szCs w:val="24"/>
              </w:rPr>
              <w:t>ення</w:t>
            </w:r>
            <w:r w:rsidR="00542853" w:rsidRPr="008F726B">
              <w:rPr>
                <w:sz w:val="24"/>
                <w:szCs w:val="24"/>
              </w:rPr>
              <w:t xml:space="preserve"> процедур</w:t>
            </w:r>
            <w:r w:rsidR="00F77208" w:rsidRPr="008F726B">
              <w:rPr>
                <w:sz w:val="24"/>
                <w:szCs w:val="24"/>
              </w:rPr>
              <w:t>и</w:t>
            </w:r>
            <w:r w:rsidR="00542853" w:rsidRPr="008F726B">
              <w:rPr>
                <w:sz w:val="24"/>
                <w:szCs w:val="24"/>
              </w:rPr>
              <w:t xml:space="preserve"> компромісу</w:t>
            </w:r>
            <w:r w:rsidR="00253E63" w:rsidRPr="008F726B">
              <w:rPr>
                <w:sz w:val="24"/>
                <w:szCs w:val="24"/>
              </w:rPr>
              <w:t xml:space="preserve"> на</w:t>
            </w:r>
            <w:r w:rsidR="00DB6A04" w:rsidRPr="008F726B">
              <w:rPr>
                <w:sz w:val="24"/>
                <w:szCs w:val="24"/>
              </w:rPr>
              <w:t xml:space="preserve"> справи про ПМП, предметами порушення яких є </w:t>
            </w:r>
            <w:r w:rsidR="000C0BAB" w:rsidRPr="008F726B">
              <w:rPr>
                <w:sz w:val="24"/>
                <w:szCs w:val="24"/>
              </w:rPr>
              <w:t xml:space="preserve">українські </w:t>
            </w:r>
            <w:r w:rsidR="00DB6A04" w:rsidRPr="008F726B">
              <w:rPr>
                <w:sz w:val="24"/>
                <w:szCs w:val="24"/>
              </w:rPr>
              <w:t>товари</w:t>
            </w:r>
            <w:r w:rsidR="00542853" w:rsidRPr="008F726B">
              <w:rPr>
                <w:sz w:val="24"/>
                <w:szCs w:val="24"/>
              </w:rPr>
              <w:t>,</w:t>
            </w:r>
            <w:r w:rsidR="003056EE" w:rsidRPr="008F726B">
              <w:rPr>
                <w:sz w:val="24"/>
                <w:szCs w:val="24"/>
              </w:rPr>
              <w:t xml:space="preserve"> а також </w:t>
            </w:r>
            <w:r w:rsidR="00DB6A04" w:rsidRPr="008F726B">
              <w:rPr>
                <w:sz w:val="24"/>
                <w:szCs w:val="24"/>
              </w:rPr>
              <w:t>можливість</w:t>
            </w:r>
            <w:r w:rsidR="00542853" w:rsidRPr="008F726B">
              <w:rPr>
                <w:sz w:val="24"/>
                <w:szCs w:val="24"/>
              </w:rPr>
              <w:t xml:space="preserve"> декларува</w:t>
            </w:r>
            <w:r w:rsidR="003056EE" w:rsidRPr="008F726B">
              <w:rPr>
                <w:sz w:val="24"/>
                <w:szCs w:val="24"/>
              </w:rPr>
              <w:t>ння</w:t>
            </w:r>
            <w:r w:rsidR="00542853" w:rsidRPr="008F726B">
              <w:rPr>
                <w:sz w:val="24"/>
                <w:szCs w:val="24"/>
              </w:rPr>
              <w:t xml:space="preserve"> </w:t>
            </w:r>
            <w:r w:rsidR="00542853" w:rsidRPr="008F726B">
              <w:rPr>
                <w:sz w:val="24"/>
                <w:szCs w:val="24"/>
              </w:rPr>
              <w:lastRenderedPageBreak/>
              <w:t>товар</w:t>
            </w:r>
            <w:r w:rsidR="00253E63" w:rsidRPr="008F726B">
              <w:rPr>
                <w:sz w:val="24"/>
                <w:szCs w:val="24"/>
              </w:rPr>
              <w:t>ів та транспортних засобів</w:t>
            </w:r>
            <w:r w:rsidR="00542853" w:rsidRPr="008F726B">
              <w:rPr>
                <w:sz w:val="24"/>
                <w:szCs w:val="24"/>
              </w:rPr>
              <w:t xml:space="preserve"> не тільки у митні режими </w:t>
            </w:r>
            <w:r w:rsidR="00314A1E" w:rsidRPr="008F726B">
              <w:rPr>
                <w:sz w:val="24"/>
                <w:szCs w:val="24"/>
              </w:rPr>
              <w:t>"</w:t>
            </w:r>
            <w:r w:rsidR="00542853" w:rsidRPr="008F726B">
              <w:rPr>
                <w:sz w:val="24"/>
                <w:szCs w:val="24"/>
              </w:rPr>
              <w:t>відмова на користь держави</w:t>
            </w:r>
            <w:r w:rsidR="00314A1E" w:rsidRPr="008F726B">
              <w:rPr>
                <w:sz w:val="24"/>
                <w:szCs w:val="24"/>
              </w:rPr>
              <w:t>"</w:t>
            </w:r>
            <w:r w:rsidR="00542853" w:rsidRPr="008F726B">
              <w:rPr>
                <w:sz w:val="24"/>
                <w:szCs w:val="24"/>
              </w:rPr>
              <w:t xml:space="preserve"> та </w:t>
            </w:r>
            <w:r w:rsidR="00314A1E" w:rsidRPr="008F726B">
              <w:rPr>
                <w:sz w:val="24"/>
                <w:szCs w:val="24"/>
              </w:rPr>
              <w:t>"</w:t>
            </w:r>
            <w:r w:rsidR="00542853" w:rsidRPr="008F726B">
              <w:rPr>
                <w:sz w:val="24"/>
                <w:szCs w:val="24"/>
              </w:rPr>
              <w:t xml:space="preserve">знищення </w:t>
            </w:r>
            <w:r w:rsidR="00253E63" w:rsidRPr="008F726B">
              <w:rPr>
                <w:sz w:val="24"/>
                <w:szCs w:val="24"/>
              </w:rPr>
              <w:t>або</w:t>
            </w:r>
            <w:r w:rsidR="00542853" w:rsidRPr="008F726B">
              <w:rPr>
                <w:sz w:val="24"/>
                <w:szCs w:val="24"/>
              </w:rPr>
              <w:t xml:space="preserve"> руйнування</w:t>
            </w:r>
            <w:r w:rsidR="00314A1E" w:rsidRPr="008F726B">
              <w:rPr>
                <w:sz w:val="24"/>
                <w:szCs w:val="24"/>
              </w:rPr>
              <w:t>"</w:t>
            </w:r>
            <w:r w:rsidR="00542853" w:rsidRPr="008F726B">
              <w:rPr>
                <w:sz w:val="24"/>
                <w:szCs w:val="24"/>
              </w:rPr>
              <w:t>, а й у митний режим, який передбачає випуск у вільний обіг</w:t>
            </w:r>
            <w:r w:rsidR="00DB6A04" w:rsidRPr="008F726B">
              <w:rPr>
                <w:sz w:val="24"/>
                <w:szCs w:val="24"/>
              </w:rPr>
              <w:t>;</w:t>
            </w:r>
          </w:p>
          <w:p w:rsidR="00DB6A04" w:rsidRPr="008F726B" w:rsidRDefault="00E60364" w:rsidP="00513E41">
            <w:pPr>
              <w:ind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</w:t>
            </w:r>
            <w:r w:rsidR="00DB6A04" w:rsidRPr="008F726B">
              <w:rPr>
                <w:sz w:val="24"/>
                <w:szCs w:val="24"/>
              </w:rPr>
              <w:t>ди</w:t>
            </w:r>
            <w:r w:rsidR="004C2D6A" w:rsidRPr="008F726B">
              <w:rPr>
                <w:sz w:val="24"/>
                <w:szCs w:val="24"/>
              </w:rPr>
              <w:t>на практика</w:t>
            </w:r>
            <w:r w:rsidR="00253E63" w:rsidRPr="008F726B">
              <w:rPr>
                <w:sz w:val="24"/>
                <w:szCs w:val="24"/>
              </w:rPr>
              <w:t xml:space="preserve"> застосування судами</w:t>
            </w:r>
            <w:r w:rsidR="00DB6A04" w:rsidRPr="008F726B">
              <w:rPr>
                <w:sz w:val="24"/>
                <w:szCs w:val="24"/>
              </w:rPr>
              <w:t xml:space="preserve"> законодавства при розгляді справ про ПМП та визначення строків накладення адміністративного стягнення;</w:t>
            </w:r>
          </w:p>
          <w:p w:rsidR="00DB6A04" w:rsidRPr="008F726B" w:rsidRDefault="00DB6A04" w:rsidP="00E60364">
            <w:pPr>
              <w:ind w:firstLine="217"/>
              <w:jc w:val="both"/>
              <w:rPr>
                <w:sz w:val="24"/>
                <w:szCs w:val="24"/>
                <w:highlight w:val="yellow"/>
              </w:rPr>
            </w:pPr>
            <w:r w:rsidRPr="008F726B">
              <w:rPr>
                <w:color w:val="222222"/>
                <w:sz w:val="24"/>
                <w:szCs w:val="24"/>
              </w:rPr>
              <w:t>ефективне запобігання та протиді</w:t>
            </w:r>
            <w:r w:rsidR="004C2D6A" w:rsidRPr="008F726B">
              <w:rPr>
                <w:color w:val="222222"/>
                <w:sz w:val="24"/>
                <w:szCs w:val="24"/>
              </w:rPr>
              <w:t>я</w:t>
            </w:r>
            <w:r w:rsidRPr="008F726B">
              <w:rPr>
                <w:color w:val="222222"/>
                <w:sz w:val="24"/>
                <w:szCs w:val="24"/>
              </w:rPr>
              <w:t xml:space="preserve"> контрабанді та ПМП на митній території України, що створить сприятливі та конкурентні умови для здійснення господарської діяльності   </w:t>
            </w: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0BAB" w:rsidRPr="008F726B" w:rsidRDefault="000C0BAB" w:rsidP="000C0BAB">
            <w:pPr>
              <w:spacing w:before="120"/>
              <w:ind w:firstLine="358"/>
              <w:jc w:val="both"/>
              <w:rPr>
                <w:sz w:val="24"/>
                <w:szCs w:val="24"/>
              </w:rPr>
            </w:pPr>
            <w:r w:rsidRPr="008F72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Посилення адміністративної відповідальності за порушення вимог митн</w:t>
            </w:r>
            <w:r w:rsidR="00E60364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режим</w:t>
            </w:r>
            <w:r w:rsidR="00E60364">
              <w:rPr>
                <w:rFonts w:eastAsiaTheme="minorHAnsi"/>
                <w:sz w:val="24"/>
                <w:szCs w:val="24"/>
                <w:lang w:eastAsia="en-US"/>
              </w:rPr>
              <w:t>ів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"транзит" 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та "тимчасове ввезення/вивезення"</w:t>
            </w:r>
          </w:p>
          <w:p w:rsidR="00D44042" w:rsidRPr="008F726B" w:rsidRDefault="00D44042" w:rsidP="00513E41">
            <w:pPr>
              <w:pStyle w:val="aa"/>
              <w:spacing w:before="0" w:beforeAutospacing="0" w:after="0" w:afterAutospacing="0"/>
              <w:ind w:firstLine="222"/>
              <w:jc w:val="both"/>
              <w:rPr>
                <w:lang w:val="uk-UA"/>
              </w:rPr>
            </w:pPr>
          </w:p>
        </w:tc>
      </w:tr>
    </w:tbl>
    <w:p w:rsidR="00D44042" w:rsidRPr="008F726B" w:rsidRDefault="00D44042" w:rsidP="00513E41">
      <w:pPr>
        <w:pStyle w:val="3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8F726B">
        <w:rPr>
          <w:rFonts w:ascii="Times New Roman" w:hAnsi="Times New Roman" w:cs="Times New Roman"/>
          <w:sz w:val="28"/>
          <w:szCs w:val="28"/>
        </w:rPr>
        <w:lastRenderedPageBreak/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12"/>
        <w:gridCol w:w="2051"/>
        <w:gridCol w:w="5854"/>
      </w:tblGrid>
      <w:tr w:rsidR="00D44042" w:rsidRPr="008F726B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ind w:left="-45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8F726B" w:rsidRDefault="00D44042" w:rsidP="003853C4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D44042" w:rsidRPr="008F726B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rPr>
                <w:lang w:val="uk-UA"/>
              </w:rPr>
            </w:pPr>
            <w:r w:rsidRPr="008F726B">
              <w:rPr>
                <w:lang w:val="uk-UA"/>
              </w:rPr>
              <w:t>Альтернатива 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1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538" w:rsidRPr="008F726B" w:rsidRDefault="004C2D6A" w:rsidP="00513E41">
            <w:pPr>
              <w:widowControl w:val="0"/>
              <w:autoSpaceDE w:val="0"/>
              <w:autoSpaceDN w:val="0"/>
              <w:adjustRightInd w:val="0"/>
              <w:ind w:firstLine="301"/>
              <w:jc w:val="both"/>
              <w:rPr>
                <w:sz w:val="24"/>
                <w:szCs w:val="24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Наявність п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>рогалин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 xml:space="preserve"> у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законо</w:t>
            </w:r>
            <w:r w:rsidR="00BC35AB" w:rsidRPr="008F726B">
              <w:rPr>
                <w:color w:val="000000"/>
                <w:sz w:val="24"/>
                <w:szCs w:val="24"/>
                <w:lang w:eastAsia="uk-UA"/>
              </w:rPr>
              <w:t>давств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і</w:t>
            </w:r>
            <w:r w:rsidR="00BC35AB" w:rsidRPr="008F726B">
              <w:rPr>
                <w:color w:val="000000"/>
                <w:sz w:val="24"/>
                <w:szCs w:val="24"/>
                <w:lang w:eastAsia="uk-UA"/>
              </w:rPr>
              <w:t>, які дозволяють уникати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відповідальності за вчинення ПМП;</w:t>
            </w:r>
            <w:r w:rsidR="00A23538" w:rsidRPr="008F726B">
              <w:rPr>
                <w:sz w:val="24"/>
                <w:szCs w:val="24"/>
              </w:rPr>
              <w:t xml:space="preserve"> </w:t>
            </w:r>
          </w:p>
          <w:p w:rsidR="00A23538" w:rsidRPr="008F726B" w:rsidRDefault="004C2D6A" w:rsidP="00513E41">
            <w:pPr>
              <w:widowControl w:val="0"/>
              <w:autoSpaceDE w:val="0"/>
              <w:autoSpaceDN w:val="0"/>
              <w:adjustRightInd w:val="0"/>
              <w:ind w:firstLine="301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не</w:t>
            </w:r>
            <w:r w:rsidR="00BC35AB" w:rsidRPr="008F726B">
              <w:rPr>
                <w:sz w:val="24"/>
                <w:szCs w:val="24"/>
              </w:rPr>
              <w:t>виконання постанов у</w:t>
            </w:r>
            <w:r w:rsidR="00A23538" w:rsidRPr="008F726B">
              <w:rPr>
                <w:sz w:val="24"/>
                <w:szCs w:val="24"/>
              </w:rPr>
              <w:t xml:space="preserve"> справах про </w:t>
            </w:r>
            <w:r w:rsidR="00BC35AB" w:rsidRPr="008F726B">
              <w:rPr>
                <w:sz w:val="24"/>
                <w:szCs w:val="24"/>
              </w:rPr>
              <w:t xml:space="preserve">ПМП </w:t>
            </w:r>
            <w:r w:rsidR="00E60364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частині стягнення штрафів та конфіскації предметів ПМП</w:t>
            </w:r>
            <w:r w:rsidR="00A23538" w:rsidRPr="008F726B">
              <w:rPr>
                <w:sz w:val="24"/>
                <w:szCs w:val="24"/>
              </w:rPr>
              <w:t>;</w:t>
            </w:r>
          </w:p>
          <w:p w:rsidR="00A23538" w:rsidRPr="008F726B" w:rsidRDefault="004C2D6A" w:rsidP="00513E41">
            <w:pPr>
              <w:widowControl w:val="0"/>
              <w:autoSpaceDE w:val="0"/>
              <w:autoSpaceDN w:val="0"/>
              <w:adjustRightInd w:val="0"/>
              <w:ind w:firstLine="301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не</w:t>
            </w:r>
            <w:r w:rsidR="00A23538" w:rsidRPr="008F726B">
              <w:rPr>
                <w:sz w:val="24"/>
                <w:szCs w:val="24"/>
              </w:rPr>
              <w:t>дотримання умов митних режимів "транзит" та "тимчасове ввезення/вивезення";</w:t>
            </w:r>
          </w:p>
          <w:p w:rsidR="00D44042" w:rsidRPr="008F726B" w:rsidRDefault="004C2D6A" w:rsidP="00E60364">
            <w:pPr>
              <w:widowControl w:val="0"/>
              <w:ind w:right="120" w:firstLine="301"/>
              <w:jc w:val="both"/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низька ефективність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 xml:space="preserve">застосування 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>процедур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и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компромісу у справах про ПМП</w:t>
            </w:r>
          </w:p>
        </w:tc>
      </w:tr>
      <w:tr w:rsidR="00D44042" w:rsidRPr="008F726B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rPr>
                <w:lang w:val="uk-UA"/>
              </w:rPr>
            </w:pPr>
            <w:r w:rsidRPr="008F726B">
              <w:rPr>
                <w:lang w:val="uk-UA"/>
              </w:rPr>
              <w:t>Альтернатива 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941A03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4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538" w:rsidRPr="008F726B" w:rsidRDefault="004C2D6A" w:rsidP="00513E41">
            <w:pPr>
              <w:ind w:firstLine="301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Розширення практики</w:t>
            </w:r>
            <w:r w:rsidR="00A23538" w:rsidRPr="008F726B">
              <w:rPr>
                <w:sz w:val="24"/>
                <w:szCs w:val="24"/>
              </w:rPr>
              <w:t xml:space="preserve"> застосування компромісу в справах про </w:t>
            </w:r>
            <w:r w:rsidR="00BC35AB" w:rsidRPr="008F726B">
              <w:rPr>
                <w:sz w:val="24"/>
                <w:szCs w:val="24"/>
              </w:rPr>
              <w:t>ПМП</w:t>
            </w:r>
            <w:r w:rsidR="00A23538" w:rsidRPr="008F726B">
              <w:rPr>
                <w:sz w:val="24"/>
                <w:szCs w:val="24"/>
              </w:rPr>
              <w:t xml:space="preserve">, що знизить навантаження на судові органи; </w:t>
            </w:r>
          </w:p>
          <w:p w:rsidR="00A23538" w:rsidRPr="008F726B" w:rsidRDefault="004C2D6A" w:rsidP="00513E41">
            <w:pPr>
              <w:ind w:firstLine="301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усунення прогалин</w:t>
            </w:r>
            <w:r w:rsidR="00A23538" w:rsidRPr="008F726B">
              <w:rPr>
                <w:sz w:val="24"/>
                <w:szCs w:val="24"/>
              </w:rPr>
              <w:t xml:space="preserve"> </w:t>
            </w:r>
            <w:r w:rsidRPr="008F726B">
              <w:rPr>
                <w:sz w:val="24"/>
                <w:szCs w:val="24"/>
              </w:rPr>
              <w:t>у</w:t>
            </w:r>
            <w:r w:rsidR="00A23538" w:rsidRPr="008F726B">
              <w:rPr>
                <w:sz w:val="24"/>
                <w:szCs w:val="24"/>
              </w:rPr>
              <w:t xml:space="preserve"> законодавстві, </w:t>
            </w:r>
            <w:r w:rsidR="00BC35AB" w:rsidRPr="008F726B">
              <w:rPr>
                <w:color w:val="000000"/>
                <w:sz w:val="24"/>
                <w:szCs w:val="24"/>
                <w:lang w:eastAsia="uk-UA"/>
              </w:rPr>
              <w:t>які дозволяють уникати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відповідальності за вчинення ПМП;</w:t>
            </w:r>
            <w:r w:rsidR="00A23538" w:rsidRPr="008F726B">
              <w:rPr>
                <w:sz w:val="24"/>
                <w:szCs w:val="24"/>
              </w:rPr>
              <w:t xml:space="preserve"> </w:t>
            </w:r>
          </w:p>
          <w:p w:rsidR="00A23538" w:rsidRPr="008F726B" w:rsidRDefault="004C2D6A" w:rsidP="00513E41">
            <w:pPr>
              <w:ind w:firstLine="301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створення</w:t>
            </w:r>
            <w:r w:rsidR="00A23538" w:rsidRPr="008F726B">
              <w:rPr>
                <w:sz w:val="24"/>
                <w:szCs w:val="24"/>
              </w:rPr>
              <w:t xml:space="preserve"> умов для виконання </w:t>
            </w:r>
            <w:r w:rsidR="00BC35AB" w:rsidRPr="008F726B">
              <w:rPr>
                <w:sz w:val="24"/>
                <w:szCs w:val="24"/>
              </w:rPr>
              <w:t xml:space="preserve">у повному обсязі </w:t>
            </w:r>
            <w:r w:rsidR="00A23538" w:rsidRPr="008F726B">
              <w:rPr>
                <w:sz w:val="24"/>
                <w:szCs w:val="24"/>
              </w:rPr>
              <w:t xml:space="preserve">постанов </w:t>
            </w:r>
            <w:r w:rsidR="00E60364">
              <w:rPr>
                <w:sz w:val="24"/>
                <w:szCs w:val="24"/>
              </w:rPr>
              <w:t>у</w:t>
            </w:r>
            <w:r w:rsidR="00A23538" w:rsidRPr="008F726B">
              <w:rPr>
                <w:sz w:val="24"/>
                <w:szCs w:val="24"/>
              </w:rPr>
              <w:t xml:space="preserve"> справах про ПМП; </w:t>
            </w:r>
          </w:p>
          <w:p w:rsidR="00A23538" w:rsidRPr="008F726B" w:rsidRDefault="004C2D6A" w:rsidP="00513E41">
            <w:pPr>
              <w:widowControl w:val="0"/>
              <w:ind w:right="120" w:firstLine="301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сприяння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додатковим надходженням</w:t>
            </w:r>
            <w:r w:rsidR="00A23538" w:rsidRPr="008F726B">
              <w:rPr>
                <w:color w:val="000000"/>
                <w:sz w:val="24"/>
                <w:szCs w:val="24"/>
                <w:lang w:eastAsia="uk-UA"/>
              </w:rPr>
              <w:t xml:space="preserve"> до бюджету та мінімізації витрат бюджетних коштів на реалізацію та знищення товарів, </w:t>
            </w:r>
            <w:r w:rsidR="00941A03" w:rsidRPr="008F726B">
              <w:rPr>
                <w:color w:val="000000"/>
                <w:sz w:val="24"/>
                <w:szCs w:val="24"/>
                <w:lang w:eastAsia="uk-UA"/>
              </w:rPr>
              <w:t>які</w:t>
            </w:r>
            <w:r w:rsidR="00E60364">
              <w:rPr>
                <w:color w:val="000000"/>
                <w:sz w:val="24"/>
                <w:szCs w:val="24"/>
                <w:lang w:eastAsia="uk-UA"/>
              </w:rPr>
              <w:t xml:space="preserve"> є предметами ПМП;</w:t>
            </w:r>
          </w:p>
          <w:p w:rsidR="00D44042" w:rsidRPr="008F726B" w:rsidRDefault="004C2D6A" w:rsidP="00513E41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сприяння</w:t>
            </w:r>
            <w:r w:rsidR="00096098" w:rsidRPr="008F726B">
              <w:rPr>
                <w:lang w:val="uk-UA"/>
              </w:rPr>
              <w:t xml:space="preserve"> захисту добросовісної конкуренції</w:t>
            </w:r>
            <w:r w:rsidR="009140F8" w:rsidRPr="008F726B">
              <w:rPr>
                <w:lang w:val="uk-UA"/>
              </w:rPr>
              <w:t xml:space="preserve"> </w:t>
            </w:r>
            <w:r w:rsidR="00D44042" w:rsidRPr="008F726B">
              <w:rPr>
                <w:lang w:val="uk-UA"/>
              </w:rPr>
              <w:t>без будь-яких витрат для господарюючих суб’єктів</w:t>
            </w:r>
            <w:r w:rsidR="009140F8" w:rsidRPr="008F726B">
              <w:rPr>
                <w:lang w:val="uk-UA"/>
              </w:rPr>
              <w:t>, які</w:t>
            </w:r>
            <w:r w:rsidR="00D44042" w:rsidRPr="008F726B">
              <w:rPr>
                <w:lang w:val="uk-UA"/>
              </w:rPr>
              <w:t xml:space="preserve"> </w:t>
            </w:r>
            <w:r w:rsidR="009140F8" w:rsidRPr="008F726B">
              <w:rPr>
                <w:lang w:val="uk-UA"/>
              </w:rPr>
              <w:t>з</w:t>
            </w:r>
            <w:r w:rsidR="00D44042" w:rsidRPr="008F726B">
              <w:rPr>
                <w:lang w:val="uk-UA"/>
              </w:rPr>
              <w:t>дійсн</w:t>
            </w:r>
            <w:r w:rsidR="009140F8" w:rsidRPr="008F726B">
              <w:rPr>
                <w:lang w:val="uk-UA"/>
              </w:rPr>
              <w:t>юють</w:t>
            </w:r>
            <w:r w:rsidR="00D44042" w:rsidRPr="008F726B">
              <w:rPr>
                <w:lang w:val="uk-UA"/>
              </w:rPr>
              <w:t xml:space="preserve"> </w:t>
            </w:r>
            <w:r w:rsidR="009140F8" w:rsidRPr="008F726B">
              <w:rPr>
                <w:lang w:val="uk-UA"/>
              </w:rPr>
              <w:t>правомірні</w:t>
            </w:r>
            <w:r w:rsidR="00096098" w:rsidRPr="008F726B">
              <w:rPr>
                <w:lang w:val="uk-UA"/>
              </w:rPr>
              <w:t xml:space="preserve"> </w:t>
            </w:r>
            <w:r w:rsidR="00D44042" w:rsidRPr="008F726B">
              <w:rPr>
                <w:lang w:val="uk-UA"/>
              </w:rPr>
              <w:t>зовнішньоекономічн</w:t>
            </w:r>
            <w:r w:rsidR="009140F8" w:rsidRPr="008F726B">
              <w:rPr>
                <w:lang w:val="uk-UA"/>
              </w:rPr>
              <w:t>і</w:t>
            </w:r>
            <w:r w:rsidR="00D44042" w:rsidRPr="008F726B">
              <w:rPr>
                <w:lang w:val="uk-UA"/>
              </w:rPr>
              <w:t xml:space="preserve"> операці</w:t>
            </w:r>
            <w:r w:rsidR="009140F8" w:rsidRPr="008F726B">
              <w:rPr>
                <w:lang w:val="uk-UA"/>
              </w:rPr>
              <w:t>ї</w:t>
            </w:r>
          </w:p>
        </w:tc>
      </w:tr>
    </w:tbl>
    <w:p w:rsidR="00D44042" w:rsidRDefault="00D44042" w:rsidP="00D44042">
      <w:pPr>
        <w:pStyle w:val="aa"/>
        <w:spacing w:before="0" w:beforeAutospacing="0" w:after="0" w:afterAutospacing="0" w:line="360" w:lineRule="auto"/>
        <w:jc w:val="both"/>
        <w:rPr>
          <w:lang w:val="uk-UA"/>
        </w:rPr>
      </w:pPr>
    </w:p>
    <w:p w:rsidR="00E60364" w:rsidRDefault="00E60364" w:rsidP="00D44042">
      <w:pPr>
        <w:pStyle w:val="aa"/>
        <w:spacing w:before="0" w:beforeAutospacing="0" w:after="0" w:afterAutospacing="0" w:line="360" w:lineRule="auto"/>
        <w:jc w:val="both"/>
        <w:rPr>
          <w:lang w:val="uk-UA"/>
        </w:rPr>
      </w:pPr>
    </w:p>
    <w:p w:rsidR="00E60364" w:rsidRPr="008F726B" w:rsidRDefault="00E60364" w:rsidP="00D44042">
      <w:pPr>
        <w:pStyle w:val="aa"/>
        <w:spacing w:before="0" w:beforeAutospacing="0" w:after="0" w:afterAutospacing="0" w:line="360" w:lineRule="auto"/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12"/>
        <w:gridCol w:w="2768"/>
        <w:gridCol w:w="2589"/>
        <w:gridCol w:w="2548"/>
      </w:tblGrid>
      <w:tr w:rsidR="008F6386" w:rsidRPr="008F726B" w:rsidTr="004C2D6A">
        <w:trPr>
          <w:tblCellSpacing w:w="22" w:type="dxa"/>
        </w:trPr>
        <w:tc>
          <w:tcPr>
            <w:tcW w:w="914" w:type="pct"/>
            <w:shd w:val="clear" w:color="auto" w:fill="auto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1397" w:type="pct"/>
            <w:shd w:val="clear" w:color="auto" w:fill="auto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Вигоди (підсумок)</w:t>
            </w:r>
          </w:p>
        </w:tc>
        <w:tc>
          <w:tcPr>
            <w:tcW w:w="1306" w:type="pct"/>
            <w:shd w:val="clear" w:color="auto" w:fill="auto"/>
          </w:tcPr>
          <w:p w:rsidR="00D44042" w:rsidRPr="008F726B" w:rsidRDefault="00D44042" w:rsidP="00513E41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Витрати (підсумок)</w:t>
            </w:r>
          </w:p>
        </w:tc>
        <w:tc>
          <w:tcPr>
            <w:tcW w:w="1274" w:type="pct"/>
            <w:shd w:val="clear" w:color="auto" w:fill="auto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DE63D7" w:rsidRPr="008F726B" w:rsidTr="004C2D6A">
        <w:trPr>
          <w:tblCellSpacing w:w="22" w:type="dxa"/>
        </w:trPr>
        <w:tc>
          <w:tcPr>
            <w:tcW w:w="914" w:type="pct"/>
            <w:shd w:val="clear" w:color="auto" w:fill="auto"/>
          </w:tcPr>
          <w:p w:rsidR="00DE63D7" w:rsidRPr="008F726B" w:rsidRDefault="00DE63D7" w:rsidP="003853C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Альтернатива 1</w:t>
            </w:r>
          </w:p>
          <w:p w:rsidR="00DE63D7" w:rsidRPr="008F726B" w:rsidRDefault="00DE63D7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(1 бал)</w:t>
            </w:r>
          </w:p>
        </w:tc>
        <w:tc>
          <w:tcPr>
            <w:tcW w:w="1397" w:type="pct"/>
            <w:shd w:val="clear" w:color="auto" w:fill="auto"/>
          </w:tcPr>
          <w:p w:rsidR="00DE63D7" w:rsidRPr="008F726B" w:rsidRDefault="00DE63D7" w:rsidP="003853C4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Відсутні</w:t>
            </w:r>
          </w:p>
        </w:tc>
        <w:tc>
          <w:tcPr>
            <w:tcW w:w="1306" w:type="pct"/>
            <w:shd w:val="clear" w:color="auto" w:fill="auto"/>
          </w:tcPr>
          <w:p w:rsidR="004C2D6A" w:rsidRPr="008F726B" w:rsidRDefault="004C2D6A" w:rsidP="004C2D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Уникнення правопорушниками відповідальності за вчинення ПМП;</w:t>
            </w:r>
            <w:r w:rsidRPr="008F726B">
              <w:rPr>
                <w:sz w:val="24"/>
                <w:szCs w:val="24"/>
              </w:rPr>
              <w:t xml:space="preserve"> </w:t>
            </w:r>
          </w:p>
          <w:p w:rsidR="004C2D6A" w:rsidRPr="008F726B" w:rsidRDefault="004C2D6A" w:rsidP="004C2D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невиконання постанов в справах про ПМП </w:t>
            </w:r>
            <w:r w:rsidR="00E60364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частині стягнення штрафів та конфіскації предметів ПМП;</w:t>
            </w:r>
          </w:p>
          <w:p w:rsidR="004C2D6A" w:rsidRPr="008F726B" w:rsidRDefault="004C2D6A" w:rsidP="004C2D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недотримання умов митних режимів "транзит" та "тимчасове ввезення/вивезення";</w:t>
            </w:r>
          </w:p>
          <w:p w:rsidR="004C2D6A" w:rsidRPr="008F726B" w:rsidRDefault="004C2D6A" w:rsidP="004C2D6A">
            <w:pPr>
              <w:widowControl w:val="0"/>
              <w:ind w:right="120" w:firstLine="357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низька ефективність практики застосування компромісу у справах про ПМП (значні витрати бюджетних коштів на знищення та реалізацію предметів ПМП, при цьому відсутня можливість після добровільної сплати штрафних санкцій, сплати також у повному обсязі встановлених митних платежів та випуску товарів і транс</w:t>
            </w:r>
            <w:r w:rsidR="00E60364">
              <w:rPr>
                <w:color w:val="000000"/>
                <w:sz w:val="24"/>
                <w:szCs w:val="24"/>
                <w:lang w:eastAsia="uk-UA"/>
              </w:rPr>
              <w:t>портних засобів у вільний обіг)</w:t>
            </w:r>
          </w:p>
          <w:p w:rsidR="00DE63D7" w:rsidRPr="008F726B" w:rsidRDefault="00DE63D7" w:rsidP="003853C4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</w:p>
        </w:tc>
        <w:tc>
          <w:tcPr>
            <w:tcW w:w="1274" w:type="pct"/>
            <w:shd w:val="clear" w:color="auto" w:fill="auto"/>
          </w:tcPr>
          <w:p w:rsidR="00DE63D7" w:rsidRPr="008F726B" w:rsidRDefault="00DE63D7" w:rsidP="003853C4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Альтернатива 1 призведе до невиконання поставлених цілей державного регулювання інституту відповідальності за порушення митних правил  та позбавить сумлінних суб’єк</w:t>
            </w:r>
            <w:r w:rsidR="00E60364">
              <w:rPr>
                <w:lang w:val="uk-UA"/>
              </w:rPr>
              <w:t>тів господарювання ряду переваг</w:t>
            </w:r>
          </w:p>
        </w:tc>
      </w:tr>
      <w:tr w:rsidR="00DE63D7" w:rsidRPr="008F726B" w:rsidTr="004C2D6A">
        <w:trPr>
          <w:tblCellSpacing w:w="22" w:type="dxa"/>
        </w:trPr>
        <w:tc>
          <w:tcPr>
            <w:tcW w:w="914" w:type="pct"/>
            <w:shd w:val="clear" w:color="auto" w:fill="auto"/>
          </w:tcPr>
          <w:p w:rsidR="00DE63D7" w:rsidRPr="008F726B" w:rsidRDefault="00DE63D7" w:rsidP="003853C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>Альтернатива 2</w:t>
            </w:r>
          </w:p>
          <w:p w:rsidR="00DE63D7" w:rsidRPr="008F726B" w:rsidRDefault="00DE63D7" w:rsidP="00DE63D7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(4 бали)</w:t>
            </w:r>
          </w:p>
        </w:tc>
        <w:tc>
          <w:tcPr>
            <w:tcW w:w="1397" w:type="pct"/>
            <w:shd w:val="clear" w:color="auto" w:fill="auto"/>
          </w:tcPr>
          <w:p w:rsidR="00DE63D7" w:rsidRPr="008F726B" w:rsidRDefault="00DE63D7" w:rsidP="00513E41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Розширення практики застосування компромісу у справах про ПМП, що знизить навантаження на судові органи; </w:t>
            </w:r>
          </w:p>
          <w:p w:rsidR="00DE63D7" w:rsidRPr="008F726B" w:rsidRDefault="00DE63D7" w:rsidP="00513E41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усунення прогалин </w:t>
            </w:r>
            <w:r w:rsidR="00993E9B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законодавстві,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які дозволяють уникати відповідальності за вчинення ПМП;</w:t>
            </w:r>
            <w:r w:rsidRPr="008F726B">
              <w:rPr>
                <w:sz w:val="24"/>
                <w:szCs w:val="24"/>
              </w:rPr>
              <w:t xml:space="preserve"> </w:t>
            </w:r>
          </w:p>
          <w:p w:rsidR="00DE63D7" w:rsidRPr="008F726B" w:rsidRDefault="00DE63D7" w:rsidP="00513E41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lastRenderedPageBreak/>
              <w:t xml:space="preserve">створення умов для виконання у повному обсязі постанов </w:t>
            </w:r>
            <w:r w:rsidR="00993E9B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справах про ПМП; </w:t>
            </w:r>
          </w:p>
          <w:p w:rsidR="00DE63D7" w:rsidRPr="008F726B" w:rsidRDefault="00993E9B" w:rsidP="00513E41">
            <w:pPr>
              <w:widowControl w:val="0"/>
              <w:ind w:right="120" w:firstLine="29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сприяння д</w:t>
            </w:r>
            <w:r w:rsidR="00DE63D7" w:rsidRPr="008F726B">
              <w:rPr>
                <w:color w:val="000000"/>
                <w:sz w:val="24"/>
                <w:szCs w:val="24"/>
                <w:lang w:eastAsia="uk-UA"/>
              </w:rPr>
              <w:t>одатковим надходженням до бюджету та мінімізації витрат бюджетних коштів на реалізацію та знищенн</w:t>
            </w:r>
            <w:r>
              <w:rPr>
                <w:color w:val="000000"/>
                <w:sz w:val="24"/>
                <w:szCs w:val="24"/>
                <w:lang w:eastAsia="uk-UA"/>
              </w:rPr>
              <w:t>я товарів, які є предметами ПМП;</w:t>
            </w:r>
          </w:p>
          <w:p w:rsidR="00DE63D7" w:rsidRPr="008F726B" w:rsidRDefault="00DE63D7" w:rsidP="00DE63D7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ефективне запобігання та протидія контрабанді та ПМП на митній території України та створення сприятливих і конкурентних умов для здій</w:t>
            </w:r>
            <w:r w:rsidR="00993E9B">
              <w:rPr>
                <w:sz w:val="24"/>
                <w:szCs w:val="24"/>
              </w:rPr>
              <w:t>снення господарської діяльності</w:t>
            </w:r>
            <w:r w:rsidRPr="008F726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06" w:type="pct"/>
            <w:shd w:val="clear" w:color="auto" w:fill="auto"/>
          </w:tcPr>
          <w:p w:rsidR="00DE63D7" w:rsidRPr="008F726B" w:rsidRDefault="00DE63D7" w:rsidP="00DE63D7">
            <w:pPr>
              <w:spacing w:before="120"/>
              <w:ind w:firstLine="35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726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Посилення адміністративної відповідаль</w:t>
            </w:r>
            <w:r w:rsidR="00993E9B">
              <w:rPr>
                <w:rFonts w:eastAsiaTheme="minorHAnsi"/>
                <w:sz w:val="24"/>
                <w:szCs w:val="24"/>
                <w:lang w:eastAsia="en-US"/>
              </w:rPr>
              <w:t>ності за порушення вимог митних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режим</w:t>
            </w:r>
            <w:r w:rsidR="00993E9B">
              <w:rPr>
                <w:rFonts w:eastAsiaTheme="minorHAnsi"/>
                <w:sz w:val="24"/>
                <w:szCs w:val="24"/>
                <w:lang w:eastAsia="en-US"/>
              </w:rPr>
              <w:t>ів</w:t>
            </w:r>
            <w:r w:rsidRPr="008F726B">
              <w:rPr>
                <w:rFonts w:eastAsiaTheme="minorHAnsi"/>
                <w:sz w:val="24"/>
                <w:szCs w:val="24"/>
                <w:lang w:eastAsia="en-US"/>
              </w:rPr>
              <w:t xml:space="preserve"> "транзит" та</w:t>
            </w:r>
            <w:r w:rsidR="00993E9B">
              <w:rPr>
                <w:rFonts w:eastAsiaTheme="minorHAnsi"/>
                <w:sz w:val="24"/>
                <w:szCs w:val="24"/>
                <w:lang w:eastAsia="en-US"/>
              </w:rPr>
              <w:t xml:space="preserve"> "тимчасове ввезення/вивезення"</w:t>
            </w:r>
          </w:p>
          <w:p w:rsidR="00DE63D7" w:rsidRPr="008F726B" w:rsidRDefault="00DE63D7" w:rsidP="00DE63D7">
            <w:pPr>
              <w:spacing w:before="120"/>
              <w:ind w:firstLine="358"/>
              <w:jc w:val="both"/>
              <w:rPr>
                <w:sz w:val="24"/>
                <w:szCs w:val="24"/>
              </w:rPr>
            </w:pPr>
          </w:p>
          <w:p w:rsidR="00DE63D7" w:rsidRPr="008F726B" w:rsidRDefault="00DE63D7" w:rsidP="003853C4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</w:p>
        </w:tc>
        <w:tc>
          <w:tcPr>
            <w:tcW w:w="1274" w:type="pct"/>
            <w:shd w:val="clear" w:color="auto" w:fill="auto"/>
          </w:tcPr>
          <w:p w:rsidR="00DE63D7" w:rsidRPr="008F726B" w:rsidRDefault="00DE63D7" w:rsidP="00513E41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 xml:space="preserve">Альтернатива 2 забезпечить повною мірою досягнення поставлених цілей, оскільки в підсумку надає вигоду державі щодо захисту її економічних інтересів, та вигоду суб’єктам господарювання за </w:t>
            </w:r>
            <w:r w:rsidRPr="008F726B">
              <w:rPr>
                <w:lang w:val="uk-UA"/>
              </w:rPr>
              <w:lastRenderedPageBreak/>
              <w:t>умови дотримання вимог законодавства при здійсненні зовнішньоекономі</w:t>
            </w:r>
            <w:r w:rsidR="00993E9B">
              <w:rPr>
                <w:lang w:val="uk-UA"/>
              </w:rPr>
              <w:t>чних операцій</w:t>
            </w:r>
            <w:r w:rsidRPr="008F726B">
              <w:rPr>
                <w:lang w:val="uk-UA"/>
              </w:rPr>
              <w:t xml:space="preserve">  </w:t>
            </w:r>
          </w:p>
        </w:tc>
      </w:tr>
    </w:tbl>
    <w:p w:rsidR="00D44042" w:rsidRPr="008F726B" w:rsidRDefault="00D44042" w:rsidP="00D44042">
      <w:pPr>
        <w:pStyle w:val="aa"/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80"/>
        <w:gridCol w:w="5064"/>
        <w:gridCol w:w="2873"/>
      </w:tblGrid>
      <w:tr w:rsidR="00D44042" w:rsidRPr="008F726B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Рейтинг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8F726B" w:rsidRDefault="00D44042" w:rsidP="003853C4">
            <w:pPr>
              <w:pStyle w:val="aa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8F6659" w:rsidRPr="008F726B" w:rsidTr="003853C4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Pr="008F726B" w:rsidRDefault="008F6659" w:rsidP="008F6659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8F726B">
              <w:rPr>
                <w:lang w:val="uk-UA"/>
              </w:rPr>
              <w:t>Альтернатива 1</w:t>
            </w:r>
          </w:p>
          <w:p w:rsidR="008F6659" w:rsidRPr="008F726B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(1 бал)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Pr="008F726B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Збереження існуючого стану сприятиме:</w:t>
            </w:r>
          </w:p>
          <w:p w:rsidR="008F6659" w:rsidRPr="008F726B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>уникненню правопорушниками відповідальності за вчинення ПМП;</w:t>
            </w:r>
            <w:r w:rsidRPr="008F726B">
              <w:rPr>
                <w:sz w:val="24"/>
                <w:szCs w:val="24"/>
              </w:rPr>
              <w:t xml:space="preserve"> </w:t>
            </w:r>
          </w:p>
          <w:p w:rsidR="008F6659" w:rsidRPr="008F726B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 xml:space="preserve">невиконанню постанов </w:t>
            </w:r>
            <w:r w:rsidR="00993E9B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справах про ПМП </w:t>
            </w:r>
            <w:r w:rsidR="00993E9B">
              <w:rPr>
                <w:sz w:val="24"/>
                <w:szCs w:val="24"/>
              </w:rPr>
              <w:t>у</w:t>
            </w:r>
            <w:r w:rsidRPr="008F726B">
              <w:rPr>
                <w:sz w:val="24"/>
                <w:szCs w:val="24"/>
              </w:rPr>
              <w:t xml:space="preserve"> частині стягнення штрафів та конфіскації предметів ПМП;</w:t>
            </w:r>
          </w:p>
          <w:p w:rsidR="008F6659" w:rsidRPr="008F726B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недотриманню умов митних режимів "транзит" та "тимчасове ввезення/вивезення";</w:t>
            </w:r>
          </w:p>
          <w:p w:rsidR="008F6659" w:rsidRPr="008F726B" w:rsidRDefault="008F6659" w:rsidP="008F6659">
            <w:pPr>
              <w:widowControl w:val="0"/>
              <w:ind w:right="120" w:firstLine="357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 xml:space="preserve">низькій </w:t>
            </w:r>
            <w:r w:rsidR="00641C4E" w:rsidRPr="008F726B">
              <w:rPr>
                <w:color w:val="000000"/>
                <w:sz w:val="24"/>
                <w:szCs w:val="24"/>
                <w:lang w:eastAsia="uk-UA"/>
              </w:rPr>
              <w:t xml:space="preserve">ефективності </w:t>
            </w:r>
            <w:r w:rsidRPr="008F726B">
              <w:rPr>
                <w:color w:val="000000"/>
                <w:sz w:val="24"/>
                <w:szCs w:val="24"/>
                <w:lang w:eastAsia="uk-UA"/>
              </w:rPr>
              <w:t>практики застосування компромісу у справах про ПМП (значні витрати бюджетних коштів на знищення та реалізацію предметів ПМП, при цьому відсутня можливість після добровільної сплати штрафних санкцій, сплати також у повному обсязі встановлених митних платежів та випуску товарів і транспортних засобів у вільний обіг).</w:t>
            </w:r>
          </w:p>
          <w:p w:rsidR="008F6659" w:rsidRPr="008F726B" w:rsidRDefault="008F6659" w:rsidP="008F6659">
            <w:pPr>
              <w:pStyle w:val="aa"/>
              <w:spacing w:before="0" w:beforeAutospacing="0" w:after="0" w:afterAutospacing="0"/>
              <w:ind w:firstLine="230"/>
              <w:jc w:val="both"/>
              <w:rPr>
                <w:lang w:val="uk-UA"/>
              </w:rPr>
            </w:pPr>
          </w:p>
          <w:p w:rsidR="008F6659" w:rsidRPr="008F726B" w:rsidRDefault="008F6659" w:rsidP="00993E9B">
            <w:pPr>
              <w:pStyle w:val="aa"/>
              <w:spacing w:before="0" w:beforeAutospacing="0" w:after="0" w:afterAutospacing="0"/>
              <w:ind w:firstLine="230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 xml:space="preserve">Загалом, </w:t>
            </w:r>
            <w:r w:rsidR="000D3AA9" w:rsidRPr="008F726B">
              <w:rPr>
                <w:lang w:val="uk-UA"/>
              </w:rPr>
              <w:t xml:space="preserve">збереження існуючого стану не забезпечить </w:t>
            </w:r>
            <w:r w:rsidRPr="008F726B">
              <w:rPr>
                <w:lang w:val="uk-UA"/>
              </w:rPr>
              <w:t>виконання поставлених цілей державного регулювання</w:t>
            </w:r>
            <w:r w:rsidR="00993E9B">
              <w:rPr>
                <w:lang w:val="uk-UA"/>
              </w:rPr>
              <w:t xml:space="preserve">, </w:t>
            </w:r>
            <w:r w:rsidRPr="008F726B">
              <w:rPr>
                <w:lang w:val="uk-UA"/>
              </w:rPr>
              <w:t>що позбавить сумлінних суб’єктів господарювання ряду переваг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Pr="008F726B" w:rsidRDefault="008F6659" w:rsidP="008F6659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D3AA9" w:rsidRPr="008F726B" w:rsidRDefault="000D3AA9" w:rsidP="000D3AA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Відсутні</w:t>
            </w:r>
          </w:p>
        </w:tc>
      </w:tr>
      <w:tr w:rsidR="008F6659" w:rsidRPr="008F726B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Pr="008F726B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Альтернатива 2</w:t>
            </w:r>
          </w:p>
          <w:p w:rsidR="008F6659" w:rsidRPr="008F726B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(4 бали)</w:t>
            </w:r>
          </w:p>
          <w:p w:rsidR="008F6659" w:rsidRPr="008F726B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Pr="008F726B" w:rsidRDefault="008F6659" w:rsidP="004C2D6A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lastRenderedPageBreak/>
              <w:t>Внесення змін до Митного кодексу України, що пропонуються актом</w:t>
            </w:r>
            <w:r w:rsidR="000D3AA9" w:rsidRPr="008F726B">
              <w:rPr>
                <w:lang w:val="uk-UA"/>
              </w:rPr>
              <w:t>, забезпечать:</w:t>
            </w:r>
          </w:p>
          <w:p w:rsidR="000D3AA9" w:rsidRPr="008F726B" w:rsidRDefault="000D3AA9" w:rsidP="000D3AA9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lastRenderedPageBreak/>
              <w:t xml:space="preserve">розширення практики застосування компромісу у справах про ПМП, що знизить навантаження на судові органи; </w:t>
            </w:r>
          </w:p>
          <w:p w:rsidR="000D3AA9" w:rsidRPr="008F726B" w:rsidRDefault="00993E9B" w:rsidP="000D3AA9">
            <w:pPr>
              <w:ind w:firstLine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усунення прогалин у</w:t>
            </w:r>
            <w:r w:rsidR="000D3AA9" w:rsidRPr="008F726B">
              <w:rPr>
                <w:sz w:val="24"/>
                <w:szCs w:val="24"/>
              </w:rPr>
              <w:t xml:space="preserve"> законодавстві, </w:t>
            </w:r>
            <w:r w:rsidR="000D3AA9" w:rsidRPr="008F726B">
              <w:rPr>
                <w:color w:val="000000"/>
                <w:sz w:val="24"/>
                <w:szCs w:val="24"/>
                <w:lang w:eastAsia="uk-UA"/>
              </w:rPr>
              <w:t>які дозволяють уникати відповідальності за вчинення ПМП;</w:t>
            </w:r>
            <w:r w:rsidR="000D3AA9" w:rsidRPr="008F726B">
              <w:rPr>
                <w:sz w:val="24"/>
                <w:szCs w:val="24"/>
              </w:rPr>
              <w:t xml:space="preserve"> </w:t>
            </w:r>
          </w:p>
          <w:p w:rsidR="000D3AA9" w:rsidRPr="008F726B" w:rsidRDefault="000D3AA9" w:rsidP="000D3AA9">
            <w:pPr>
              <w:ind w:firstLine="295"/>
              <w:jc w:val="both"/>
              <w:rPr>
                <w:sz w:val="24"/>
                <w:szCs w:val="24"/>
              </w:rPr>
            </w:pPr>
            <w:r w:rsidRPr="008F726B">
              <w:rPr>
                <w:sz w:val="24"/>
                <w:szCs w:val="24"/>
              </w:rPr>
              <w:t>створення умов для викон</w:t>
            </w:r>
            <w:r w:rsidR="00993E9B">
              <w:rPr>
                <w:sz w:val="24"/>
                <w:szCs w:val="24"/>
              </w:rPr>
              <w:t>ання у повному обсязі постанов у</w:t>
            </w:r>
            <w:r w:rsidRPr="008F726B">
              <w:rPr>
                <w:sz w:val="24"/>
                <w:szCs w:val="24"/>
              </w:rPr>
              <w:t xml:space="preserve"> справах про ПМП; </w:t>
            </w:r>
          </w:p>
          <w:p w:rsidR="000D3AA9" w:rsidRPr="008F726B" w:rsidRDefault="000D3AA9" w:rsidP="000D3AA9">
            <w:pPr>
              <w:widowControl w:val="0"/>
              <w:ind w:right="120" w:firstLine="295"/>
              <w:jc w:val="both"/>
              <w:rPr>
                <w:sz w:val="24"/>
                <w:szCs w:val="24"/>
                <w:lang w:eastAsia="uk-UA"/>
              </w:rPr>
            </w:pPr>
            <w:r w:rsidRPr="008F726B">
              <w:rPr>
                <w:color w:val="000000"/>
                <w:sz w:val="24"/>
                <w:szCs w:val="24"/>
                <w:lang w:eastAsia="uk-UA"/>
              </w:rPr>
              <w:t xml:space="preserve">сприяння додатковим надходженням до бюджету та мінімізації витрат бюджетних коштів на реалізацію та знищення товарів, які є </w:t>
            </w:r>
            <w:r w:rsidR="00993E9B">
              <w:rPr>
                <w:sz w:val="24"/>
                <w:szCs w:val="24"/>
                <w:lang w:eastAsia="uk-UA"/>
              </w:rPr>
              <w:t>предметами ПМП;</w:t>
            </w:r>
          </w:p>
          <w:p w:rsidR="000D3AA9" w:rsidRPr="008F726B" w:rsidRDefault="000D3AA9" w:rsidP="000D3AA9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 xml:space="preserve">ефективне запобігання та протидію контрабанді та ПМП на митній території України та створення сприятливих і конкурентних умов для здійснення господарської діяльності.   </w:t>
            </w:r>
          </w:p>
          <w:p w:rsidR="000D3AA9" w:rsidRPr="008F726B" w:rsidRDefault="000D3AA9" w:rsidP="000D3AA9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</w:p>
          <w:p w:rsidR="008F6659" w:rsidRPr="008F726B" w:rsidRDefault="000D3AA9" w:rsidP="005B5239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r w:rsidRPr="008F726B">
              <w:rPr>
                <w:lang w:val="uk-UA"/>
              </w:rPr>
              <w:t xml:space="preserve">Загалом, внесення </w:t>
            </w:r>
            <w:r w:rsidR="00993E9B">
              <w:rPr>
                <w:lang w:val="uk-UA"/>
              </w:rPr>
              <w:t>змін до Митного кодексу України</w:t>
            </w:r>
            <w:r w:rsidRPr="008F726B">
              <w:rPr>
                <w:lang w:val="uk-UA"/>
              </w:rPr>
              <w:t xml:space="preserve"> забезпечить виконання </w:t>
            </w:r>
            <w:r w:rsidR="008F6659" w:rsidRPr="008F726B">
              <w:rPr>
                <w:lang w:val="uk-UA"/>
              </w:rPr>
              <w:t xml:space="preserve">поставлених цілей державного регулювання, </w:t>
            </w:r>
            <w:r w:rsidRPr="008F726B">
              <w:rPr>
                <w:lang w:val="uk-UA"/>
              </w:rPr>
              <w:t>що надасть значну</w:t>
            </w:r>
            <w:r w:rsidR="008F6659" w:rsidRPr="008F726B">
              <w:rPr>
                <w:lang w:val="uk-UA"/>
              </w:rPr>
              <w:t xml:space="preserve"> переваг</w:t>
            </w:r>
            <w:r w:rsidRPr="008F726B">
              <w:rPr>
                <w:lang w:val="uk-UA"/>
              </w:rPr>
              <w:t>у</w:t>
            </w:r>
            <w:r w:rsidR="008F6659" w:rsidRPr="008F726B">
              <w:rPr>
                <w:lang w:val="uk-UA"/>
              </w:rPr>
              <w:t xml:space="preserve"> </w:t>
            </w:r>
            <w:r w:rsidRPr="008F726B">
              <w:rPr>
                <w:lang w:val="uk-UA"/>
              </w:rPr>
              <w:t>сумлінним</w:t>
            </w:r>
            <w:r w:rsidR="008F6659" w:rsidRPr="008F726B">
              <w:rPr>
                <w:lang w:val="uk-UA"/>
              </w:rPr>
              <w:t xml:space="preserve"> </w:t>
            </w:r>
            <w:r w:rsidRPr="008F726B">
              <w:rPr>
                <w:lang w:val="uk-UA"/>
              </w:rPr>
              <w:t>суб’єктам</w:t>
            </w:r>
            <w:r w:rsidR="008F6659" w:rsidRPr="008F726B">
              <w:rPr>
                <w:lang w:val="uk-UA"/>
              </w:rPr>
              <w:t xml:space="preserve"> господарювання при здійсненні зовнішньоекономічних операцій та захист</w:t>
            </w:r>
            <w:r w:rsidRPr="008F726B">
              <w:rPr>
                <w:lang w:val="uk-UA"/>
              </w:rPr>
              <w:t>ить економічні інтереси</w:t>
            </w:r>
            <w:r w:rsidR="008F6659" w:rsidRPr="008F726B">
              <w:rPr>
                <w:lang w:val="uk-UA"/>
              </w:rPr>
              <w:t xml:space="preserve"> держави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3AA9" w:rsidRPr="008F726B" w:rsidRDefault="000D3AA9" w:rsidP="000D3AA9">
            <w:pPr>
              <w:pStyle w:val="aa"/>
              <w:spacing w:before="0" w:beforeAutospacing="0" w:after="0" w:afterAutospacing="0"/>
              <w:ind w:firstLine="300"/>
              <w:jc w:val="center"/>
              <w:rPr>
                <w:lang w:val="uk-UA"/>
              </w:rPr>
            </w:pPr>
          </w:p>
          <w:p w:rsidR="008F6659" w:rsidRPr="008F726B" w:rsidRDefault="000D3AA9" w:rsidP="000D3AA9">
            <w:pPr>
              <w:pStyle w:val="aa"/>
              <w:spacing w:before="0" w:beforeAutospacing="0" w:after="0" w:afterAutospacing="0"/>
              <w:ind w:firstLine="300"/>
              <w:jc w:val="center"/>
              <w:rPr>
                <w:lang w:val="uk-UA"/>
              </w:rPr>
            </w:pPr>
            <w:r w:rsidRPr="008F726B">
              <w:rPr>
                <w:lang w:val="uk-UA"/>
              </w:rPr>
              <w:t>Відсутні</w:t>
            </w:r>
          </w:p>
        </w:tc>
      </w:tr>
    </w:tbl>
    <w:p w:rsidR="00D44042" w:rsidRPr="008F726B" w:rsidRDefault="00D44042" w:rsidP="00BA09AD">
      <w:pPr>
        <w:widowControl w:val="0"/>
        <w:spacing w:before="120"/>
        <w:ind w:left="709"/>
        <w:jc w:val="both"/>
        <w:rPr>
          <w:b/>
          <w:szCs w:val="28"/>
        </w:rPr>
      </w:pPr>
      <w:r w:rsidRPr="008F726B">
        <w:rPr>
          <w:b/>
          <w:szCs w:val="28"/>
        </w:rPr>
        <w:lastRenderedPageBreak/>
        <w:t>V. Механізми та заходи, що пропонуються для розв’язання проблеми</w:t>
      </w:r>
    </w:p>
    <w:p w:rsidR="00D44042" w:rsidRPr="008F726B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 xml:space="preserve">Реалізація поставлених цілей державного регулювання забезпечується шляхом внесення змін до </w:t>
      </w:r>
      <w:r w:rsidR="00E9705E" w:rsidRPr="008F726B">
        <w:rPr>
          <w:sz w:val="28"/>
          <w:szCs w:val="28"/>
        </w:rPr>
        <w:t>Митного кодексу України</w:t>
      </w:r>
      <w:r w:rsidRPr="008F726B">
        <w:rPr>
          <w:sz w:val="28"/>
          <w:szCs w:val="28"/>
        </w:rPr>
        <w:t>.</w:t>
      </w:r>
    </w:p>
    <w:p w:rsidR="00D44042" w:rsidRPr="008F726B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>Заходами, які необхідно здійснити для реалізації вказаних цілей, є:</w:t>
      </w:r>
    </w:p>
    <w:p w:rsidR="00D44042" w:rsidRPr="008F726B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 xml:space="preserve">1) погодження </w:t>
      </w:r>
      <w:r w:rsidR="00E9705E" w:rsidRPr="008F726B">
        <w:rPr>
          <w:sz w:val="28"/>
          <w:szCs w:val="28"/>
        </w:rPr>
        <w:t>законо</w:t>
      </w:r>
      <w:r w:rsidRPr="008F726B">
        <w:rPr>
          <w:sz w:val="28"/>
          <w:szCs w:val="28"/>
        </w:rPr>
        <w:t>проекту</w:t>
      </w:r>
      <w:r w:rsidR="00E9705E" w:rsidRPr="008F726B">
        <w:rPr>
          <w:sz w:val="28"/>
          <w:szCs w:val="28"/>
        </w:rPr>
        <w:t xml:space="preserve"> Міністерством економічного розвитку і торгівлі України, Державною регуляторною службою України,</w:t>
      </w:r>
      <w:r w:rsidRPr="008F726B">
        <w:rPr>
          <w:sz w:val="28"/>
          <w:szCs w:val="28"/>
        </w:rPr>
        <w:t xml:space="preserve"> Міністерством юстиції України;</w:t>
      </w:r>
    </w:p>
    <w:p w:rsidR="00D44042" w:rsidRPr="008F726B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 xml:space="preserve">2) подання Міністерством фінансів України </w:t>
      </w:r>
      <w:r w:rsidR="00E9705E" w:rsidRPr="008F726B">
        <w:rPr>
          <w:sz w:val="28"/>
          <w:szCs w:val="28"/>
        </w:rPr>
        <w:t>законо</w:t>
      </w:r>
      <w:r w:rsidRPr="008F726B">
        <w:rPr>
          <w:sz w:val="28"/>
          <w:szCs w:val="28"/>
        </w:rPr>
        <w:t>проекту на розгляд Кабінету Міністрів України;</w:t>
      </w:r>
    </w:p>
    <w:p w:rsidR="00D44042" w:rsidRPr="008F726B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 xml:space="preserve">3) </w:t>
      </w:r>
      <w:r w:rsidR="00E9705E" w:rsidRPr="008F726B">
        <w:rPr>
          <w:sz w:val="28"/>
          <w:szCs w:val="28"/>
        </w:rPr>
        <w:t>внесення законопроекту</w:t>
      </w:r>
      <w:r w:rsidRPr="008F726B">
        <w:rPr>
          <w:sz w:val="28"/>
          <w:szCs w:val="28"/>
        </w:rPr>
        <w:t xml:space="preserve"> Кабінетом Міністрів України</w:t>
      </w:r>
      <w:r w:rsidR="00E9705E" w:rsidRPr="008F726B">
        <w:rPr>
          <w:sz w:val="28"/>
          <w:szCs w:val="28"/>
        </w:rPr>
        <w:t xml:space="preserve"> до Верховної Ради України</w:t>
      </w:r>
      <w:r w:rsidRPr="008F726B">
        <w:rPr>
          <w:sz w:val="28"/>
          <w:szCs w:val="28"/>
        </w:rPr>
        <w:t>;</w:t>
      </w:r>
    </w:p>
    <w:p w:rsidR="00E9705E" w:rsidRPr="008F726B" w:rsidRDefault="00E9705E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>4) прийняття законопроекту Верховною Радою України;</w:t>
      </w:r>
    </w:p>
    <w:p w:rsidR="003853C4" w:rsidRPr="008F726B" w:rsidRDefault="003853C4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>5) підписання Закону Президентом України;</w:t>
      </w:r>
    </w:p>
    <w:p w:rsidR="00D44042" w:rsidRPr="008F726B" w:rsidRDefault="003853C4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>6</w:t>
      </w:r>
      <w:r w:rsidR="00D44042" w:rsidRPr="008F726B">
        <w:rPr>
          <w:sz w:val="28"/>
          <w:szCs w:val="28"/>
        </w:rPr>
        <w:t xml:space="preserve">) здійснення заходів з опублікування </w:t>
      </w:r>
      <w:r w:rsidR="00E9705E" w:rsidRPr="008F726B">
        <w:rPr>
          <w:sz w:val="28"/>
          <w:szCs w:val="28"/>
        </w:rPr>
        <w:t>законопроекту</w:t>
      </w:r>
      <w:r w:rsidR="00D44042" w:rsidRPr="008F726B">
        <w:rPr>
          <w:sz w:val="28"/>
          <w:szCs w:val="28"/>
        </w:rPr>
        <w:t>.</w:t>
      </w:r>
    </w:p>
    <w:p w:rsidR="00D44042" w:rsidRPr="008F726B" w:rsidRDefault="009571C7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8F726B">
        <w:rPr>
          <w:sz w:val="28"/>
          <w:szCs w:val="28"/>
        </w:rPr>
        <w:t xml:space="preserve">Законопроектом </w:t>
      </w:r>
      <w:r w:rsidR="00D44042" w:rsidRPr="008F726B">
        <w:rPr>
          <w:sz w:val="28"/>
          <w:szCs w:val="28"/>
        </w:rPr>
        <w:t>пропонується:</w:t>
      </w:r>
    </w:p>
    <w:p w:rsidR="0071016C" w:rsidRPr="008F726B" w:rsidRDefault="006C6D1A" w:rsidP="00BA09AD">
      <w:pPr>
        <w:widowControl w:val="0"/>
        <w:spacing w:before="120"/>
        <w:ind w:right="120" w:firstLine="709"/>
        <w:jc w:val="both"/>
        <w:rPr>
          <w:color w:val="000000"/>
          <w:szCs w:val="28"/>
          <w:lang w:eastAsia="uk-UA"/>
        </w:rPr>
      </w:pPr>
      <w:r w:rsidRPr="008F726B">
        <w:rPr>
          <w:color w:val="000000"/>
          <w:szCs w:val="28"/>
          <w:lang w:eastAsia="uk-UA"/>
        </w:rPr>
        <w:t xml:space="preserve">поширити процедуру застосування компромісу на </w:t>
      </w:r>
      <w:r w:rsidR="0071016C" w:rsidRPr="008F726B">
        <w:rPr>
          <w:color w:val="000000"/>
          <w:szCs w:val="28"/>
          <w:lang w:eastAsia="uk-UA"/>
        </w:rPr>
        <w:t xml:space="preserve">справи про ПМП, предметами правопорушення яких є </w:t>
      </w:r>
      <w:r w:rsidR="00641C4E" w:rsidRPr="008F726B">
        <w:rPr>
          <w:color w:val="000000"/>
          <w:szCs w:val="28"/>
          <w:lang w:eastAsia="uk-UA"/>
        </w:rPr>
        <w:t xml:space="preserve">українські </w:t>
      </w:r>
      <w:r w:rsidRPr="008F726B">
        <w:rPr>
          <w:color w:val="000000"/>
          <w:szCs w:val="28"/>
          <w:lang w:eastAsia="uk-UA"/>
        </w:rPr>
        <w:t xml:space="preserve">товари, які експортуються з України, </w:t>
      </w:r>
      <w:r w:rsidR="0071016C" w:rsidRPr="008F726B">
        <w:rPr>
          <w:color w:val="000000"/>
          <w:szCs w:val="28"/>
          <w:lang w:eastAsia="uk-UA"/>
        </w:rPr>
        <w:t xml:space="preserve">а також після сплати штрафу за вчинення </w:t>
      </w:r>
      <w:r w:rsidR="009571C7" w:rsidRPr="008F726B">
        <w:rPr>
          <w:color w:val="000000"/>
          <w:szCs w:val="28"/>
          <w:lang w:eastAsia="uk-UA"/>
        </w:rPr>
        <w:t>правопорушення</w:t>
      </w:r>
      <w:r w:rsidR="0071016C" w:rsidRPr="008F726B">
        <w:rPr>
          <w:color w:val="000000"/>
          <w:szCs w:val="28"/>
          <w:lang w:eastAsia="uk-UA"/>
        </w:rPr>
        <w:t xml:space="preserve"> передбачити можливість декларування товарів</w:t>
      </w:r>
      <w:r w:rsidR="003853C4" w:rsidRPr="008F726B">
        <w:rPr>
          <w:color w:val="000000"/>
          <w:szCs w:val="28"/>
          <w:lang w:eastAsia="uk-UA"/>
        </w:rPr>
        <w:t xml:space="preserve"> та транспортних засобів</w:t>
      </w:r>
      <w:r w:rsidR="009571C7" w:rsidRPr="008F726B">
        <w:rPr>
          <w:color w:val="000000"/>
          <w:szCs w:val="28"/>
          <w:lang w:eastAsia="uk-UA"/>
        </w:rPr>
        <w:t xml:space="preserve"> </w:t>
      </w:r>
      <w:r w:rsidR="0071016C" w:rsidRPr="008F726B">
        <w:rPr>
          <w:color w:val="000000"/>
          <w:szCs w:val="28"/>
          <w:lang w:eastAsia="uk-UA"/>
        </w:rPr>
        <w:t xml:space="preserve">у </w:t>
      </w:r>
      <w:r w:rsidR="0071016C" w:rsidRPr="008F726B">
        <w:rPr>
          <w:color w:val="000000"/>
          <w:szCs w:val="28"/>
          <w:lang w:eastAsia="uk-UA"/>
        </w:rPr>
        <w:lastRenderedPageBreak/>
        <w:t>митний режим, який передбачає</w:t>
      </w:r>
      <w:r w:rsidR="0071016C" w:rsidRPr="008F726B">
        <w:rPr>
          <w:bCs/>
          <w:iCs/>
          <w:color w:val="000000"/>
          <w:szCs w:val="28"/>
          <w:lang w:eastAsia="uk-UA"/>
        </w:rPr>
        <w:t xml:space="preserve"> випуск товарів у вільний обіг</w:t>
      </w:r>
      <w:r w:rsidR="0071016C" w:rsidRPr="008F726B">
        <w:rPr>
          <w:color w:val="000000"/>
          <w:szCs w:val="28"/>
          <w:lang w:eastAsia="uk-UA"/>
        </w:rPr>
        <w:t xml:space="preserve"> (на цей час пропонується декларувати товар лише у митні режими </w:t>
      </w:r>
      <w:r w:rsidR="003853C4" w:rsidRPr="008F726B">
        <w:rPr>
          <w:color w:val="000000"/>
          <w:szCs w:val="28"/>
          <w:lang w:eastAsia="uk-UA"/>
        </w:rPr>
        <w:t>"</w:t>
      </w:r>
      <w:r w:rsidR="0071016C" w:rsidRPr="008F726B">
        <w:rPr>
          <w:color w:val="000000"/>
          <w:szCs w:val="28"/>
          <w:lang w:eastAsia="uk-UA"/>
        </w:rPr>
        <w:t>відмова на користь держави</w:t>
      </w:r>
      <w:r w:rsidR="003853C4" w:rsidRPr="008F726B">
        <w:rPr>
          <w:color w:val="000000"/>
          <w:szCs w:val="28"/>
          <w:lang w:eastAsia="uk-UA"/>
        </w:rPr>
        <w:t>"</w:t>
      </w:r>
      <w:r w:rsidR="0071016C" w:rsidRPr="008F726B">
        <w:rPr>
          <w:color w:val="000000"/>
          <w:szCs w:val="28"/>
          <w:lang w:eastAsia="uk-UA"/>
        </w:rPr>
        <w:t xml:space="preserve"> </w:t>
      </w:r>
      <w:r w:rsidR="003853C4" w:rsidRPr="008F726B">
        <w:rPr>
          <w:color w:val="000000"/>
          <w:szCs w:val="28"/>
          <w:lang w:eastAsia="uk-UA"/>
        </w:rPr>
        <w:t>та</w:t>
      </w:r>
      <w:r w:rsidR="0071016C" w:rsidRPr="008F726B">
        <w:rPr>
          <w:color w:val="000000"/>
          <w:szCs w:val="28"/>
          <w:lang w:eastAsia="uk-UA"/>
        </w:rPr>
        <w:t xml:space="preserve"> </w:t>
      </w:r>
      <w:r w:rsidR="003853C4" w:rsidRPr="008F726B">
        <w:rPr>
          <w:color w:val="000000"/>
          <w:szCs w:val="28"/>
          <w:lang w:eastAsia="uk-UA"/>
        </w:rPr>
        <w:t xml:space="preserve">"знищення </w:t>
      </w:r>
      <w:r w:rsidR="0071016C" w:rsidRPr="008F726B">
        <w:rPr>
          <w:color w:val="000000"/>
          <w:szCs w:val="28"/>
          <w:lang w:eastAsia="uk-UA"/>
        </w:rPr>
        <w:t>а</w:t>
      </w:r>
      <w:r w:rsidR="003853C4" w:rsidRPr="008F726B">
        <w:rPr>
          <w:color w:val="000000"/>
          <w:szCs w:val="28"/>
          <w:lang w:eastAsia="uk-UA"/>
        </w:rPr>
        <w:t>бо</w:t>
      </w:r>
      <w:r w:rsidR="0071016C" w:rsidRPr="008F726B">
        <w:rPr>
          <w:color w:val="000000"/>
          <w:szCs w:val="28"/>
          <w:lang w:eastAsia="uk-UA"/>
        </w:rPr>
        <w:t xml:space="preserve"> руйнування</w:t>
      </w:r>
      <w:r w:rsidR="003853C4" w:rsidRPr="008F726B">
        <w:rPr>
          <w:color w:val="000000"/>
          <w:szCs w:val="28"/>
          <w:lang w:eastAsia="uk-UA"/>
        </w:rPr>
        <w:t>"</w:t>
      </w:r>
      <w:r w:rsidR="005B5239">
        <w:rPr>
          <w:color w:val="000000"/>
          <w:szCs w:val="28"/>
          <w:lang w:eastAsia="uk-UA"/>
        </w:rPr>
        <w:t>);</w:t>
      </w:r>
    </w:p>
    <w:p w:rsidR="00F22598" w:rsidRPr="008F726B" w:rsidRDefault="009571C7" w:rsidP="00BA09A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8F726B">
        <w:rPr>
          <w:rFonts w:eastAsiaTheme="minorHAnsi"/>
          <w:szCs w:val="28"/>
          <w:lang w:eastAsia="en-US"/>
        </w:rPr>
        <w:t>встановити строк</w:t>
      </w:r>
      <w:r w:rsidR="00F22598" w:rsidRPr="008F726B">
        <w:rPr>
          <w:rFonts w:eastAsiaTheme="minorHAnsi"/>
          <w:szCs w:val="28"/>
          <w:lang w:eastAsia="en-US"/>
        </w:rPr>
        <w:t xml:space="preserve"> застосування адміністративного стягнення за </w:t>
      </w:r>
      <w:r w:rsidR="003853C4" w:rsidRPr="008F726B">
        <w:rPr>
          <w:rFonts w:eastAsiaTheme="minorHAnsi"/>
          <w:szCs w:val="28"/>
          <w:lang w:eastAsia="en-US"/>
        </w:rPr>
        <w:t>ПМП</w:t>
      </w:r>
      <w:r w:rsidR="005B5239">
        <w:rPr>
          <w:rFonts w:eastAsiaTheme="minorHAnsi"/>
          <w:szCs w:val="28"/>
          <w:lang w:eastAsia="en-US"/>
        </w:rPr>
        <w:t xml:space="preserve"> з дня виявлення правопорушення;</w:t>
      </w:r>
    </w:p>
    <w:p w:rsidR="0050130D" w:rsidRPr="008F726B" w:rsidRDefault="009571C7" w:rsidP="00BA09AD">
      <w:pPr>
        <w:spacing w:before="120"/>
        <w:ind w:firstLine="709"/>
        <w:jc w:val="both"/>
        <w:rPr>
          <w:szCs w:val="28"/>
        </w:rPr>
      </w:pPr>
      <w:r w:rsidRPr="008F726B">
        <w:rPr>
          <w:rFonts w:eastAsiaTheme="minorHAnsi"/>
          <w:szCs w:val="28"/>
          <w:lang w:eastAsia="en-US"/>
        </w:rPr>
        <w:t>посилити адміністративну</w:t>
      </w:r>
      <w:r w:rsidR="0050130D" w:rsidRPr="008F726B">
        <w:rPr>
          <w:rFonts w:eastAsiaTheme="minorHAnsi"/>
          <w:szCs w:val="28"/>
          <w:lang w:eastAsia="en-US"/>
        </w:rPr>
        <w:t xml:space="preserve"> відповідальн</w:t>
      </w:r>
      <w:r w:rsidRPr="008F726B">
        <w:rPr>
          <w:rFonts w:eastAsiaTheme="minorHAnsi"/>
          <w:szCs w:val="28"/>
          <w:lang w:eastAsia="en-US"/>
        </w:rPr>
        <w:t>ість</w:t>
      </w:r>
      <w:r w:rsidR="0050130D" w:rsidRPr="008F726B">
        <w:rPr>
          <w:rFonts w:eastAsiaTheme="minorHAnsi"/>
          <w:szCs w:val="28"/>
          <w:lang w:eastAsia="en-US"/>
        </w:rPr>
        <w:t xml:space="preserve"> за порушення вимог митн</w:t>
      </w:r>
      <w:r w:rsidR="005B5239">
        <w:rPr>
          <w:rFonts w:eastAsiaTheme="minorHAnsi"/>
          <w:szCs w:val="28"/>
          <w:lang w:eastAsia="en-US"/>
        </w:rPr>
        <w:t>их</w:t>
      </w:r>
      <w:r w:rsidR="0050130D" w:rsidRPr="008F726B">
        <w:rPr>
          <w:rFonts w:eastAsiaTheme="minorHAnsi"/>
          <w:szCs w:val="28"/>
          <w:lang w:eastAsia="en-US"/>
        </w:rPr>
        <w:t xml:space="preserve"> режим</w:t>
      </w:r>
      <w:r w:rsidR="005B5239">
        <w:rPr>
          <w:rFonts w:eastAsiaTheme="minorHAnsi"/>
          <w:szCs w:val="28"/>
          <w:lang w:eastAsia="en-US"/>
        </w:rPr>
        <w:t>ів</w:t>
      </w:r>
      <w:r w:rsidR="0050130D" w:rsidRPr="008F726B">
        <w:rPr>
          <w:rFonts w:eastAsiaTheme="minorHAnsi"/>
          <w:szCs w:val="28"/>
          <w:lang w:eastAsia="en-US"/>
        </w:rPr>
        <w:t xml:space="preserve"> </w:t>
      </w:r>
      <w:r w:rsidR="003853C4" w:rsidRPr="008F726B">
        <w:rPr>
          <w:rFonts w:eastAsiaTheme="minorHAnsi"/>
          <w:szCs w:val="28"/>
          <w:lang w:eastAsia="en-US"/>
        </w:rPr>
        <w:t>"</w:t>
      </w:r>
      <w:r w:rsidR="0050130D" w:rsidRPr="008F726B">
        <w:rPr>
          <w:rFonts w:eastAsiaTheme="minorHAnsi"/>
          <w:szCs w:val="28"/>
          <w:lang w:eastAsia="en-US"/>
        </w:rPr>
        <w:t>транзит</w:t>
      </w:r>
      <w:r w:rsidR="003853C4" w:rsidRPr="008F726B">
        <w:rPr>
          <w:rFonts w:eastAsiaTheme="minorHAnsi"/>
          <w:szCs w:val="28"/>
          <w:lang w:eastAsia="en-US"/>
        </w:rPr>
        <w:t>"</w:t>
      </w:r>
      <w:r w:rsidR="0050130D" w:rsidRPr="008F726B">
        <w:rPr>
          <w:rFonts w:eastAsiaTheme="minorHAnsi"/>
          <w:szCs w:val="28"/>
          <w:lang w:eastAsia="en-US"/>
        </w:rPr>
        <w:t xml:space="preserve"> та </w:t>
      </w:r>
      <w:r w:rsidR="003853C4" w:rsidRPr="008F726B">
        <w:rPr>
          <w:rFonts w:eastAsiaTheme="minorHAnsi"/>
          <w:szCs w:val="28"/>
          <w:lang w:eastAsia="en-US"/>
        </w:rPr>
        <w:t>"тимчасове ввезення</w:t>
      </w:r>
      <w:r w:rsidR="0050130D" w:rsidRPr="008F726B">
        <w:rPr>
          <w:rFonts w:eastAsiaTheme="minorHAnsi"/>
          <w:szCs w:val="28"/>
          <w:lang w:eastAsia="en-US"/>
        </w:rPr>
        <w:t>/вивезення</w:t>
      </w:r>
      <w:r w:rsidR="003853C4" w:rsidRPr="008F726B">
        <w:rPr>
          <w:rFonts w:eastAsiaTheme="minorHAnsi"/>
          <w:szCs w:val="28"/>
          <w:lang w:eastAsia="en-US"/>
        </w:rPr>
        <w:t>"</w:t>
      </w:r>
      <w:r w:rsidR="0050130D" w:rsidRPr="008F726B">
        <w:rPr>
          <w:rFonts w:eastAsiaTheme="minorHAnsi"/>
          <w:szCs w:val="28"/>
          <w:lang w:eastAsia="en-US"/>
        </w:rPr>
        <w:t>;</w:t>
      </w:r>
    </w:p>
    <w:p w:rsidR="0050130D" w:rsidRDefault="0050130D" w:rsidP="00912695">
      <w:pPr>
        <w:spacing w:before="120" w:after="120"/>
        <w:ind w:firstLine="709"/>
        <w:jc w:val="both"/>
        <w:rPr>
          <w:szCs w:val="28"/>
        </w:rPr>
      </w:pPr>
      <w:r w:rsidRPr="008F726B">
        <w:rPr>
          <w:szCs w:val="28"/>
        </w:rPr>
        <w:t>у разі застосування конфіска</w:t>
      </w:r>
      <w:r w:rsidR="003529D0" w:rsidRPr="008F726B">
        <w:rPr>
          <w:szCs w:val="28"/>
        </w:rPr>
        <w:t xml:space="preserve">ції, </w:t>
      </w:r>
      <w:r w:rsidRPr="008F726B">
        <w:rPr>
          <w:szCs w:val="28"/>
        </w:rPr>
        <w:t>передбачити</w:t>
      </w:r>
      <w:r w:rsidR="003529D0" w:rsidRPr="008F726B">
        <w:rPr>
          <w:szCs w:val="28"/>
        </w:rPr>
        <w:t xml:space="preserve"> як альтернативу</w:t>
      </w:r>
      <w:r w:rsidRPr="008F726B">
        <w:rPr>
          <w:szCs w:val="28"/>
        </w:rPr>
        <w:t xml:space="preserve"> </w:t>
      </w:r>
      <w:r w:rsidR="003853C4" w:rsidRPr="008F726B">
        <w:rPr>
          <w:szCs w:val="28"/>
        </w:rPr>
        <w:t>вилученню товарів/</w:t>
      </w:r>
      <w:r w:rsidR="003529D0" w:rsidRPr="008F726B">
        <w:rPr>
          <w:szCs w:val="28"/>
        </w:rPr>
        <w:t xml:space="preserve">транспортних засобів </w:t>
      </w:r>
      <w:r w:rsidRPr="008F726B">
        <w:rPr>
          <w:szCs w:val="28"/>
        </w:rPr>
        <w:t xml:space="preserve">можливість стягнення </w:t>
      </w:r>
      <w:r w:rsidR="003529D0" w:rsidRPr="008F726B">
        <w:rPr>
          <w:szCs w:val="28"/>
        </w:rPr>
        <w:t xml:space="preserve">їх </w:t>
      </w:r>
      <w:r w:rsidRPr="008F726B">
        <w:rPr>
          <w:szCs w:val="28"/>
        </w:rPr>
        <w:t>вартості</w:t>
      </w:r>
      <w:r w:rsidR="005B5239">
        <w:rPr>
          <w:szCs w:val="28"/>
        </w:rPr>
        <w:t xml:space="preserve"> д</w:t>
      </w:r>
      <w:r w:rsidR="003529D0" w:rsidRPr="008F726B">
        <w:rPr>
          <w:szCs w:val="28"/>
        </w:rPr>
        <w:t>о державного бюджету</w:t>
      </w:r>
      <w:r w:rsidR="0067443D" w:rsidRPr="008F726B">
        <w:rPr>
          <w:szCs w:val="28"/>
        </w:rPr>
        <w:t>, а також встановити, що конфіскація за рішенням суду застосовується незалежно від часу виявлення ПМП.</w:t>
      </w:r>
      <w:r w:rsidR="003529D0" w:rsidRPr="008F726B">
        <w:rPr>
          <w:szCs w:val="28"/>
        </w:rPr>
        <w:t xml:space="preserve">  </w:t>
      </w:r>
      <w:r w:rsidRPr="008F726B">
        <w:rPr>
          <w:szCs w:val="28"/>
        </w:rPr>
        <w:t xml:space="preserve"> </w:t>
      </w:r>
    </w:p>
    <w:p w:rsidR="00B76CA8" w:rsidRPr="00B76CA8" w:rsidRDefault="005B5239" w:rsidP="00147A59">
      <w:pPr>
        <w:shd w:val="clear" w:color="auto" w:fill="FFFFFF"/>
        <w:spacing w:before="120" w:after="12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В</w:t>
      </w:r>
      <w:r w:rsidRPr="00912695">
        <w:rPr>
          <w:szCs w:val="28"/>
        </w:rPr>
        <w:t>имо</w:t>
      </w:r>
      <w:r>
        <w:rPr>
          <w:szCs w:val="28"/>
        </w:rPr>
        <w:t xml:space="preserve">ги зазначеного регуляторного акта не передбачають додаткових </w:t>
      </w:r>
      <w:r w:rsidRPr="00912695">
        <w:rPr>
          <w:szCs w:val="28"/>
        </w:rPr>
        <w:t>організаційних</w:t>
      </w:r>
      <w:r>
        <w:rPr>
          <w:szCs w:val="28"/>
        </w:rPr>
        <w:t xml:space="preserve"> заходів з боку </w:t>
      </w:r>
      <w:r w:rsidRPr="00912695">
        <w:rPr>
          <w:szCs w:val="28"/>
        </w:rPr>
        <w:t>суб’єкт</w:t>
      </w:r>
      <w:r>
        <w:rPr>
          <w:szCs w:val="28"/>
        </w:rPr>
        <w:t xml:space="preserve">ів господарювання. </w:t>
      </w:r>
      <w:r w:rsidR="00B76CA8" w:rsidRPr="00912695">
        <w:rPr>
          <w:szCs w:val="28"/>
        </w:rPr>
        <w:t>Міністерству фінансів України необхідно внести зміни до наказу Міністерства фінансів України від 28.05.2012 № 697 «Про затвердження Типової мирової угоди про припинення провадження в справі про порушення мит</w:t>
      </w:r>
      <w:r>
        <w:rPr>
          <w:szCs w:val="28"/>
        </w:rPr>
        <w:t>них правил», зареєстрованого у Міністерстві юстиції України 18.06.</w:t>
      </w:r>
      <w:r w:rsidR="00B76CA8" w:rsidRPr="00912695">
        <w:rPr>
          <w:szCs w:val="28"/>
        </w:rPr>
        <w:t xml:space="preserve">2012 </w:t>
      </w:r>
      <w:r w:rsidR="00C6044B" w:rsidRPr="00912695">
        <w:rPr>
          <w:szCs w:val="28"/>
        </w:rPr>
        <w:t>за № 985/21297.</w:t>
      </w:r>
    </w:p>
    <w:p w:rsidR="00D44042" w:rsidRPr="008F726B" w:rsidRDefault="00D44042" w:rsidP="00BA09AD">
      <w:pPr>
        <w:widowControl w:val="0"/>
        <w:spacing w:before="120"/>
        <w:ind w:firstLine="567"/>
        <w:jc w:val="center"/>
        <w:rPr>
          <w:b/>
          <w:szCs w:val="28"/>
        </w:rPr>
      </w:pPr>
      <w:r w:rsidRPr="008F726B">
        <w:rPr>
          <w:b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3529D0" w:rsidRPr="008F726B" w:rsidRDefault="003529D0" w:rsidP="00BA09AD">
      <w:pPr>
        <w:spacing w:before="120"/>
        <w:ind w:firstLine="709"/>
        <w:jc w:val="both"/>
        <w:rPr>
          <w:szCs w:val="28"/>
        </w:rPr>
      </w:pPr>
      <w:r w:rsidRPr="008F726B">
        <w:rPr>
          <w:szCs w:val="28"/>
        </w:rPr>
        <w:t>Реалізація норм законопроекту не потребує додаткових видатків з бюджету чи витрат громадян та суб’єктів господарювання, у раз</w:t>
      </w:r>
      <w:r w:rsidR="0067443D" w:rsidRPr="008F726B">
        <w:rPr>
          <w:szCs w:val="28"/>
        </w:rPr>
        <w:t xml:space="preserve">і дотримання ними встановлених </w:t>
      </w:r>
      <w:r w:rsidRPr="008F726B">
        <w:rPr>
          <w:szCs w:val="28"/>
        </w:rPr>
        <w:t>законодавством митних правил.</w:t>
      </w:r>
    </w:p>
    <w:p w:rsidR="00D44042" w:rsidRPr="008F726B" w:rsidRDefault="00D44042" w:rsidP="00BA09AD">
      <w:pPr>
        <w:widowControl w:val="0"/>
        <w:spacing w:before="120"/>
        <w:ind w:firstLine="567"/>
        <w:jc w:val="center"/>
        <w:rPr>
          <w:b/>
          <w:szCs w:val="28"/>
        </w:rPr>
      </w:pPr>
      <w:r w:rsidRPr="008F726B">
        <w:rPr>
          <w:b/>
          <w:szCs w:val="28"/>
        </w:rPr>
        <w:t>VII. Обґрунтування запропонованого строку дії регуляторного акта</w:t>
      </w:r>
    </w:p>
    <w:p w:rsidR="00D44042" w:rsidRPr="008F726B" w:rsidRDefault="000B2B4C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дії регуляторного акта</w:t>
      </w:r>
      <w:r w:rsidR="00D44042" w:rsidRPr="008F726B">
        <w:rPr>
          <w:sz w:val="28"/>
          <w:szCs w:val="28"/>
          <w:lang w:val="uk-UA"/>
        </w:rPr>
        <w:t xml:space="preserve"> не обмежується у часі, що дасть змогу досягти цілей державного регулювання. Проект регуляторного акта набирає чинності </w:t>
      </w:r>
      <w:r w:rsidR="003529D0" w:rsidRPr="008F726B">
        <w:rPr>
          <w:sz w:val="28"/>
          <w:szCs w:val="28"/>
          <w:lang w:val="uk-UA"/>
        </w:rPr>
        <w:t xml:space="preserve">через 45 днів </w:t>
      </w:r>
      <w:r w:rsidR="00D44042" w:rsidRPr="008F726B">
        <w:rPr>
          <w:sz w:val="28"/>
          <w:szCs w:val="28"/>
          <w:lang w:val="uk-UA"/>
        </w:rPr>
        <w:t>з дн</w:t>
      </w:r>
      <w:r w:rsidR="00E322D6" w:rsidRPr="008F726B">
        <w:rPr>
          <w:sz w:val="28"/>
          <w:szCs w:val="28"/>
          <w:lang w:val="uk-UA"/>
        </w:rPr>
        <w:t>я його офіційного опублікування, що відповідає вимогам статті</w:t>
      </w:r>
      <w:r w:rsidR="00E85488">
        <w:rPr>
          <w:sz w:val="28"/>
          <w:szCs w:val="28"/>
          <w:lang w:val="uk-UA"/>
        </w:rPr>
        <w:t> </w:t>
      </w:r>
      <w:r w:rsidR="00E322D6" w:rsidRPr="008F726B"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  <w:lang w:val="uk-UA"/>
        </w:rPr>
        <w:t>МК</w:t>
      </w:r>
      <w:proofErr w:type="spellEnd"/>
      <w:r>
        <w:rPr>
          <w:sz w:val="28"/>
          <w:szCs w:val="28"/>
          <w:lang w:val="uk-UA"/>
        </w:rPr>
        <w:t xml:space="preserve"> України</w:t>
      </w:r>
      <w:r w:rsidR="00E322D6" w:rsidRPr="008F726B">
        <w:rPr>
          <w:sz w:val="28"/>
          <w:szCs w:val="28"/>
          <w:lang w:val="uk-UA"/>
        </w:rPr>
        <w:t>.</w:t>
      </w:r>
      <w:r w:rsidR="00D44042" w:rsidRPr="008F726B">
        <w:rPr>
          <w:sz w:val="28"/>
          <w:szCs w:val="28"/>
          <w:lang w:val="uk-UA"/>
        </w:rPr>
        <w:t xml:space="preserve">  </w:t>
      </w:r>
    </w:p>
    <w:p w:rsidR="00D44042" w:rsidRPr="008F726B" w:rsidRDefault="00D44042" w:rsidP="00BA09AD">
      <w:pPr>
        <w:widowControl w:val="0"/>
        <w:spacing w:before="120"/>
        <w:ind w:firstLine="567"/>
        <w:jc w:val="center"/>
        <w:rPr>
          <w:b/>
          <w:szCs w:val="28"/>
        </w:rPr>
      </w:pPr>
      <w:r w:rsidRPr="008F726B">
        <w:rPr>
          <w:b/>
          <w:szCs w:val="28"/>
        </w:rPr>
        <w:t>VIII. Показники результативності регуляторного акта</w:t>
      </w:r>
    </w:p>
    <w:p w:rsidR="00D44042" w:rsidRPr="008F726B" w:rsidRDefault="0067443D" w:rsidP="00BA09AD">
      <w:pPr>
        <w:spacing w:before="120"/>
        <w:ind w:firstLine="709"/>
        <w:jc w:val="both"/>
        <w:rPr>
          <w:szCs w:val="28"/>
        </w:rPr>
      </w:pPr>
      <w:r w:rsidRPr="008F726B">
        <w:rPr>
          <w:szCs w:val="28"/>
        </w:rPr>
        <w:t>Виходячи з цілей державного регулювання для відстеження результативності акта</w:t>
      </w:r>
      <w:r w:rsidR="000B2B4C">
        <w:rPr>
          <w:szCs w:val="28"/>
        </w:rPr>
        <w:t>,</w:t>
      </w:r>
      <w:r w:rsidRPr="008F726B">
        <w:rPr>
          <w:szCs w:val="28"/>
        </w:rPr>
        <w:t xml:space="preserve"> обрано такі показники</w:t>
      </w:r>
      <w:r w:rsidR="00D44042" w:rsidRPr="008F726B">
        <w:rPr>
          <w:szCs w:val="28"/>
        </w:rPr>
        <w:t>:</w:t>
      </w:r>
    </w:p>
    <w:p w:rsidR="00A22E52" w:rsidRPr="008F726B" w:rsidRDefault="00E322D6" w:rsidP="00BA09AD">
      <w:pPr>
        <w:pStyle w:val="1"/>
        <w:tabs>
          <w:tab w:val="left" w:pos="9921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1)</w:t>
      </w:r>
      <w:r w:rsidR="00D44042" w:rsidRPr="008F726B">
        <w:rPr>
          <w:sz w:val="28"/>
          <w:szCs w:val="28"/>
          <w:lang w:val="uk-UA"/>
        </w:rPr>
        <w:t xml:space="preserve"> </w:t>
      </w:r>
      <w:r w:rsidRPr="008F726B">
        <w:rPr>
          <w:sz w:val="28"/>
          <w:szCs w:val="28"/>
          <w:lang w:val="uk-UA"/>
        </w:rPr>
        <w:t>к</w:t>
      </w:r>
      <w:r w:rsidR="00A22E52" w:rsidRPr="008F726B">
        <w:rPr>
          <w:sz w:val="28"/>
          <w:szCs w:val="28"/>
          <w:lang w:val="uk-UA"/>
        </w:rPr>
        <w:t xml:space="preserve">ількість </w:t>
      </w:r>
      <w:r w:rsidR="00080BC3" w:rsidRPr="008F726B">
        <w:rPr>
          <w:sz w:val="28"/>
          <w:szCs w:val="28"/>
          <w:lang w:val="uk-UA"/>
        </w:rPr>
        <w:t xml:space="preserve">громадян та </w:t>
      </w:r>
      <w:r w:rsidR="00A22E52" w:rsidRPr="008F726B">
        <w:rPr>
          <w:sz w:val="28"/>
          <w:szCs w:val="28"/>
          <w:lang w:val="uk-UA"/>
        </w:rPr>
        <w:t>суб’єктів господарювання, на яких поширюватиметься дія акта.</w:t>
      </w:r>
    </w:p>
    <w:p w:rsidR="00A22E52" w:rsidRPr="008F726B" w:rsidRDefault="00A22E52" w:rsidP="00BA09AD">
      <w:pPr>
        <w:pStyle w:val="Style4"/>
        <w:spacing w:before="120" w:line="240" w:lineRule="auto"/>
        <w:rPr>
          <w:rStyle w:val="FontStyle21"/>
          <w:sz w:val="28"/>
          <w:szCs w:val="28"/>
        </w:rPr>
      </w:pPr>
      <w:r w:rsidRPr="008F726B">
        <w:rPr>
          <w:sz w:val="28"/>
          <w:szCs w:val="28"/>
        </w:rPr>
        <w:t>Дія регуляторного акт</w:t>
      </w:r>
      <w:r w:rsidR="000B2B4C">
        <w:rPr>
          <w:sz w:val="28"/>
          <w:szCs w:val="28"/>
        </w:rPr>
        <w:t>а</w:t>
      </w:r>
      <w:r w:rsidRPr="008F726B">
        <w:rPr>
          <w:sz w:val="28"/>
          <w:szCs w:val="28"/>
        </w:rPr>
        <w:t xml:space="preserve"> поширюватиметься на</w:t>
      </w:r>
      <w:r w:rsidRPr="008F726B">
        <w:rPr>
          <w:b/>
          <w:sz w:val="28"/>
          <w:szCs w:val="28"/>
        </w:rPr>
        <w:t xml:space="preserve"> </w:t>
      </w:r>
      <w:r w:rsidR="00080BC3" w:rsidRPr="008F726B">
        <w:rPr>
          <w:sz w:val="28"/>
          <w:szCs w:val="28"/>
        </w:rPr>
        <w:t>громадян та</w:t>
      </w:r>
      <w:r w:rsidR="00080BC3" w:rsidRPr="008F726B">
        <w:rPr>
          <w:b/>
          <w:sz w:val="28"/>
          <w:szCs w:val="28"/>
        </w:rPr>
        <w:t xml:space="preserve"> </w:t>
      </w:r>
      <w:r w:rsidRPr="008F726B">
        <w:rPr>
          <w:rStyle w:val="FontStyle21"/>
          <w:sz w:val="28"/>
          <w:szCs w:val="28"/>
        </w:rPr>
        <w:t>суб’єктів господарювання, що здійснюють переміщення товарів через митний кордон України</w:t>
      </w:r>
      <w:r w:rsidR="000B2B4C">
        <w:rPr>
          <w:sz w:val="28"/>
          <w:szCs w:val="28"/>
        </w:rPr>
        <w:t>;</w:t>
      </w:r>
    </w:p>
    <w:p w:rsidR="00963F7C" w:rsidRPr="008F726B" w:rsidRDefault="00080C53" w:rsidP="00BA09AD">
      <w:pPr>
        <w:pStyle w:val="1"/>
        <w:tabs>
          <w:tab w:val="left" w:pos="9921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2) д</w:t>
      </w:r>
      <w:r w:rsidR="00963F7C" w:rsidRPr="008F726B">
        <w:rPr>
          <w:sz w:val="28"/>
          <w:szCs w:val="28"/>
          <w:lang w:val="uk-UA"/>
        </w:rPr>
        <w:t>одаткові кошти і час, що витрачатимуться</w:t>
      </w:r>
      <w:r w:rsidR="00080BC3" w:rsidRPr="008F726B">
        <w:rPr>
          <w:sz w:val="28"/>
          <w:szCs w:val="28"/>
          <w:lang w:val="uk-UA"/>
        </w:rPr>
        <w:t xml:space="preserve"> громадянами та</w:t>
      </w:r>
      <w:r w:rsidR="000B2B4C">
        <w:rPr>
          <w:sz w:val="28"/>
          <w:szCs w:val="28"/>
          <w:lang w:val="uk-UA"/>
        </w:rPr>
        <w:t xml:space="preserve"> суб’єктами господарювання</w:t>
      </w:r>
      <w:r w:rsidR="00963F7C" w:rsidRPr="008F726B">
        <w:rPr>
          <w:sz w:val="28"/>
          <w:szCs w:val="28"/>
          <w:lang w:val="uk-UA"/>
        </w:rPr>
        <w:t xml:space="preserve"> </w:t>
      </w:r>
      <w:r w:rsidR="00080BC3" w:rsidRPr="008F726B">
        <w:rPr>
          <w:sz w:val="28"/>
          <w:szCs w:val="28"/>
          <w:lang w:val="uk-UA"/>
        </w:rPr>
        <w:t xml:space="preserve">при виконанні </w:t>
      </w:r>
      <w:r w:rsidR="00963F7C" w:rsidRPr="008F726B">
        <w:rPr>
          <w:sz w:val="28"/>
          <w:szCs w:val="28"/>
          <w:lang w:val="uk-UA"/>
        </w:rPr>
        <w:t>вимог акта.</w:t>
      </w:r>
    </w:p>
    <w:p w:rsidR="00963F7C" w:rsidRPr="008F726B" w:rsidRDefault="00963F7C" w:rsidP="00BA09AD">
      <w:pPr>
        <w:pStyle w:val="1"/>
        <w:tabs>
          <w:tab w:val="left" w:pos="9921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lastRenderedPageBreak/>
        <w:t>Не передбачається збільшення розміру коштів, що витрачатимуться суб’єктами господарювання та/або фізичними особами, пов’</w:t>
      </w:r>
      <w:r w:rsidR="000B2B4C">
        <w:rPr>
          <w:sz w:val="28"/>
          <w:szCs w:val="28"/>
          <w:lang w:val="uk-UA"/>
        </w:rPr>
        <w:t>язаними з виконанням вимог акта;</w:t>
      </w:r>
      <w:r w:rsidRPr="008F726B">
        <w:rPr>
          <w:sz w:val="28"/>
          <w:szCs w:val="28"/>
          <w:lang w:val="uk-UA"/>
        </w:rPr>
        <w:t xml:space="preserve"> </w:t>
      </w:r>
    </w:p>
    <w:p w:rsidR="00D20CEE" w:rsidRPr="008F726B" w:rsidRDefault="00080BC3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3)</w:t>
      </w:r>
      <w:r w:rsidR="00D20CEE" w:rsidRPr="008F726B">
        <w:rPr>
          <w:sz w:val="28"/>
          <w:szCs w:val="28"/>
          <w:lang w:val="uk-UA"/>
        </w:rPr>
        <w:t xml:space="preserve"> </w:t>
      </w:r>
      <w:r w:rsidRPr="008F726B">
        <w:rPr>
          <w:sz w:val="28"/>
          <w:szCs w:val="28"/>
          <w:lang w:val="uk-UA"/>
        </w:rPr>
        <w:t>р</w:t>
      </w:r>
      <w:r w:rsidR="00D20CEE" w:rsidRPr="008F726B">
        <w:rPr>
          <w:sz w:val="28"/>
          <w:szCs w:val="28"/>
          <w:lang w:val="uk-UA"/>
        </w:rPr>
        <w:t>івень поінформованості суб’єктів господарювання та/або фізичних осіб з основних положень акта.</w:t>
      </w:r>
    </w:p>
    <w:p w:rsidR="00080BC3" w:rsidRPr="008F726B" w:rsidRDefault="00080BC3" w:rsidP="00BA09AD">
      <w:pPr>
        <w:pStyle w:val="Style3"/>
        <w:tabs>
          <w:tab w:val="left" w:pos="1638"/>
        </w:tabs>
        <w:spacing w:before="120"/>
        <w:ind w:firstLine="709"/>
        <w:jc w:val="both"/>
        <w:rPr>
          <w:rStyle w:val="FontStyle21"/>
          <w:sz w:val="28"/>
          <w:szCs w:val="28"/>
        </w:rPr>
      </w:pPr>
      <w:r w:rsidRPr="008F726B">
        <w:rPr>
          <w:sz w:val="28"/>
          <w:szCs w:val="28"/>
        </w:rPr>
        <w:t xml:space="preserve">Рівень поінформованості громадян та суб’єктів господарювання – </w:t>
      </w:r>
      <w:r w:rsidRPr="008F726B">
        <w:rPr>
          <w:rStyle w:val="FontStyle21"/>
          <w:sz w:val="28"/>
          <w:szCs w:val="28"/>
        </w:rPr>
        <w:t>високий. Проект регуляторного акта розміщено на офіційному сайті Мінфіну (</w:t>
      </w:r>
      <w:hyperlink r:id="rId8" w:history="1">
        <w:r w:rsidRPr="008F726B">
          <w:rPr>
            <w:rStyle w:val="ac"/>
            <w:sz w:val="28"/>
            <w:szCs w:val="28"/>
          </w:rPr>
          <w:t>www.minfin.gov.ua</w:t>
        </w:r>
      </w:hyperlink>
      <w:r w:rsidR="000B2B4C">
        <w:rPr>
          <w:rStyle w:val="FontStyle21"/>
          <w:sz w:val="28"/>
          <w:szCs w:val="28"/>
        </w:rPr>
        <w:t>) та після прийняття</w:t>
      </w:r>
      <w:r w:rsidRPr="008F726B">
        <w:rPr>
          <w:rStyle w:val="FontStyle21"/>
          <w:sz w:val="28"/>
          <w:szCs w:val="28"/>
        </w:rPr>
        <w:t xml:space="preserve"> буде опублікован</w:t>
      </w:r>
      <w:r w:rsidR="000B2B4C">
        <w:rPr>
          <w:rStyle w:val="FontStyle21"/>
          <w:sz w:val="28"/>
          <w:szCs w:val="28"/>
        </w:rPr>
        <w:t>о</w:t>
      </w:r>
      <w:r w:rsidRPr="008F726B">
        <w:rPr>
          <w:rStyle w:val="FontStyle21"/>
          <w:sz w:val="28"/>
          <w:szCs w:val="28"/>
        </w:rPr>
        <w:t xml:space="preserve"> в офіційних джерелах.</w:t>
      </w:r>
    </w:p>
    <w:p w:rsidR="00B91AA5" w:rsidRPr="008F726B" w:rsidRDefault="00B91AA5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 xml:space="preserve"> Також результативність акта відстежуватиметься шляхом </w:t>
      </w:r>
      <w:r w:rsidR="0067443D" w:rsidRPr="008F726B">
        <w:rPr>
          <w:sz w:val="28"/>
          <w:szCs w:val="28"/>
          <w:lang w:val="uk-UA"/>
        </w:rPr>
        <w:t xml:space="preserve">аналізу </w:t>
      </w:r>
      <w:r w:rsidR="000B2B4C">
        <w:rPr>
          <w:sz w:val="28"/>
          <w:szCs w:val="28"/>
          <w:lang w:val="uk-UA"/>
        </w:rPr>
        <w:t xml:space="preserve">таких </w:t>
      </w:r>
      <w:r w:rsidRPr="008F726B">
        <w:rPr>
          <w:sz w:val="28"/>
          <w:szCs w:val="28"/>
          <w:lang w:val="uk-UA"/>
        </w:rPr>
        <w:t>статистичн</w:t>
      </w:r>
      <w:r w:rsidR="00C57D0C" w:rsidRPr="008F726B">
        <w:rPr>
          <w:sz w:val="28"/>
          <w:szCs w:val="28"/>
          <w:lang w:val="uk-UA"/>
        </w:rPr>
        <w:t>их</w:t>
      </w:r>
      <w:r w:rsidRPr="008F726B">
        <w:rPr>
          <w:sz w:val="28"/>
          <w:szCs w:val="28"/>
          <w:lang w:val="uk-UA"/>
        </w:rPr>
        <w:t xml:space="preserve"> </w:t>
      </w:r>
      <w:r w:rsidR="00C57D0C" w:rsidRPr="008F726B">
        <w:rPr>
          <w:sz w:val="28"/>
          <w:szCs w:val="28"/>
          <w:lang w:val="uk-UA"/>
        </w:rPr>
        <w:t>даних</w:t>
      </w:r>
      <w:r w:rsidRPr="008F726B">
        <w:rPr>
          <w:sz w:val="28"/>
          <w:szCs w:val="28"/>
          <w:lang w:val="uk-UA"/>
        </w:rPr>
        <w:t xml:space="preserve"> органів доходів і зборів:</w:t>
      </w:r>
    </w:p>
    <w:p w:rsidR="00B91AA5" w:rsidRPr="008F726B" w:rsidRDefault="00B91AA5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кількість укладених мирових угод;</w:t>
      </w:r>
    </w:p>
    <w:p w:rsidR="00CB1CF2" w:rsidRPr="008F726B" w:rsidRDefault="00CB1CF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 xml:space="preserve">загальна сума </w:t>
      </w:r>
      <w:r w:rsidR="00D142C6" w:rsidRPr="008F726B">
        <w:rPr>
          <w:sz w:val="28"/>
          <w:szCs w:val="28"/>
          <w:lang w:val="uk-UA"/>
        </w:rPr>
        <w:t xml:space="preserve">коштів, внесених до державного бюджету </w:t>
      </w:r>
      <w:r w:rsidR="0099607B" w:rsidRPr="008F726B">
        <w:rPr>
          <w:sz w:val="28"/>
          <w:szCs w:val="28"/>
          <w:lang w:val="uk-UA"/>
        </w:rPr>
        <w:t>за умовами</w:t>
      </w:r>
      <w:r w:rsidR="00D142C6" w:rsidRPr="008F726B">
        <w:rPr>
          <w:sz w:val="28"/>
          <w:szCs w:val="28"/>
          <w:lang w:val="uk-UA"/>
        </w:rPr>
        <w:t xml:space="preserve"> мирової угоди</w:t>
      </w:r>
      <w:r w:rsidRPr="008F726B">
        <w:rPr>
          <w:sz w:val="28"/>
          <w:szCs w:val="28"/>
          <w:lang w:val="uk-UA"/>
        </w:rPr>
        <w:t>;</w:t>
      </w:r>
    </w:p>
    <w:p w:rsidR="00B77491" w:rsidRPr="008F726B" w:rsidRDefault="00B77491" w:rsidP="00BA09AD">
      <w:pPr>
        <w:pStyle w:val="1"/>
        <w:tabs>
          <w:tab w:val="left" w:pos="9921"/>
        </w:tabs>
        <w:spacing w:before="12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F726B">
        <w:rPr>
          <w:color w:val="000000"/>
          <w:sz w:val="28"/>
          <w:szCs w:val="28"/>
          <w:lang w:val="uk-UA" w:eastAsia="uk-UA"/>
        </w:rPr>
        <w:t>кількість випадків декларування товарів/транспортних засобів у митний режим, який передбачає</w:t>
      </w:r>
      <w:r w:rsidRPr="008F726B">
        <w:rPr>
          <w:bCs/>
          <w:iCs/>
          <w:color w:val="000000"/>
          <w:sz w:val="28"/>
          <w:szCs w:val="28"/>
          <w:lang w:val="uk-UA" w:eastAsia="uk-UA"/>
        </w:rPr>
        <w:t xml:space="preserve"> випуск у вільний обіг,</w:t>
      </w:r>
      <w:r w:rsidRPr="008F726B">
        <w:rPr>
          <w:color w:val="000000"/>
          <w:sz w:val="28"/>
          <w:szCs w:val="28"/>
          <w:lang w:val="uk-UA" w:eastAsia="uk-UA"/>
        </w:rPr>
        <w:t xml:space="preserve"> після </w:t>
      </w:r>
      <w:r w:rsidR="0099607B" w:rsidRPr="008F726B">
        <w:rPr>
          <w:color w:val="000000"/>
          <w:sz w:val="28"/>
          <w:szCs w:val="28"/>
          <w:lang w:val="uk-UA" w:eastAsia="uk-UA"/>
        </w:rPr>
        <w:t xml:space="preserve">внесення до державного бюджету за умовами мирової угоди </w:t>
      </w:r>
      <w:r w:rsidR="000B2B4C">
        <w:rPr>
          <w:b/>
          <w:sz w:val="28"/>
          <w:szCs w:val="28"/>
          <w:u w:val="single"/>
          <w:lang w:val="uk-UA" w:eastAsia="uk-UA"/>
        </w:rPr>
        <w:t>коштів у</w:t>
      </w:r>
      <w:r w:rsidR="00D142C6" w:rsidRPr="008F726B">
        <w:rPr>
          <w:b/>
          <w:sz w:val="28"/>
          <w:szCs w:val="28"/>
          <w:u w:val="single"/>
          <w:lang w:val="uk-UA" w:eastAsia="uk-UA"/>
        </w:rPr>
        <w:t xml:space="preserve"> сумі штрафу, передбаченого санкцією відповідної статті </w:t>
      </w:r>
      <w:proofErr w:type="spellStart"/>
      <w:r w:rsidR="000B2B4C">
        <w:rPr>
          <w:b/>
          <w:sz w:val="28"/>
          <w:szCs w:val="28"/>
          <w:u w:val="single"/>
          <w:lang w:val="uk-UA" w:eastAsia="uk-UA"/>
        </w:rPr>
        <w:t>МК</w:t>
      </w:r>
      <w:proofErr w:type="spellEnd"/>
      <w:r w:rsidR="000B2B4C">
        <w:rPr>
          <w:b/>
          <w:sz w:val="28"/>
          <w:szCs w:val="28"/>
          <w:u w:val="single"/>
          <w:lang w:val="uk-UA" w:eastAsia="uk-UA"/>
        </w:rPr>
        <w:t xml:space="preserve"> України</w:t>
      </w:r>
      <w:r w:rsidR="00D142C6" w:rsidRPr="008F726B">
        <w:rPr>
          <w:b/>
          <w:sz w:val="28"/>
          <w:szCs w:val="28"/>
          <w:u w:val="single"/>
          <w:lang w:val="uk-UA" w:eastAsia="uk-UA"/>
        </w:rPr>
        <w:t xml:space="preserve"> та/або вартості товарів, транспортних засобів, що підлягають конфіскації, </w:t>
      </w:r>
      <w:r w:rsidRPr="008F726B">
        <w:rPr>
          <w:color w:val="000000"/>
          <w:sz w:val="28"/>
          <w:szCs w:val="28"/>
          <w:lang w:val="uk-UA" w:eastAsia="uk-UA"/>
        </w:rPr>
        <w:t xml:space="preserve">та загальна сума сплачених митних платежів при </w:t>
      </w:r>
      <w:r w:rsidR="0099607B" w:rsidRPr="008F726B">
        <w:rPr>
          <w:color w:val="000000"/>
          <w:sz w:val="28"/>
          <w:szCs w:val="28"/>
          <w:lang w:val="uk-UA" w:eastAsia="uk-UA"/>
        </w:rPr>
        <w:t>оформленні у відповідний режим</w:t>
      </w:r>
      <w:r w:rsidRPr="008F726B">
        <w:rPr>
          <w:color w:val="000000"/>
          <w:sz w:val="28"/>
          <w:szCs w:val="28"/>
          <w:lang w:val="uk-UA" w:eastAsia="uk-UA"/>
        </w:rPr>
        <w:t xml:space="preserve">; </w:t>
      </w:r>
    </w:p>
    <w:p w:rsidR="00367E72" w:rsidRPr="008F726B" w:rsidRDefault="009105B6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 xml:space="preserve">загальна </w:t>
      </w:r>
      <w:r w:rsidR="00B91AA5" w:rsidRPr="008F726B">
        <w:rPr>
          <w:sz w:val="28"/>
          <w:szCs w:val="28"/>
          <w:lang w:val="uk-UA"/>
        </w:rPr>
        <w:t xml:space="preserve">кількість </w:t>
      </w:r>
      <w:r w:rsidR="00A968F4" w:rsidRPr="008F726B">
        <w:rPr>
          <w:sz w:val="28"/>
          <w:szCs w:val="28"/>
          <w:lang w:val="uk-UA"/>
        </w:rPr>
        <w:t>складених протоколів про ПМП</w:t>
      </w:r>
      <w:r w:rsidR="00367E72" w:rsidRPr="008F726B">
        <w:rPr>
          <w:sz w:val="28"/>
          <w:szCs w:val="28"/>
          <w:lang w:val="uk-UA"/>
        </w:rPr>
        <w:t>;</w:t>
      </w:r>
      <w:r w:rsidR="006C586F" w:rsidRPr="008F726B">
        <w:rPr>
          <w:sz w:val="28"/>
          <w:szCs w:val="28"/>
          <w:lang w:val="uk-UA"/>
        </w:rPr>
        <w:t xml:space="preserve"> </w:t>
      </w:r>
    </w:p>
    <w:p w:rsidR="00367E72" w:rsidRPr="008F726B" w:rsidRDefault="006C586F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 xml:space="preserve">кількість </w:t>
      </w:r>
      <w:r w:rsidR="00367E72" w:rsidRPr="008F726B">
        <w:rPr>
          <w:sz w:val="28"/>
          <w:szCs w:val="28"/>
          <w:lang w:val="uk-UA"/>
        </w:rPr>
        <w:t xml:space="preserve">постанов </w:t>
      </w:r>
      <w:r w:rsidR="00CB1CF2" w:rsidRPr="008F726B">
        <w:rPr>
          <w:sz w:val="28"/>
          <w:szCs w:val="28"/>
          <w:lang w:val="uk-UA"/>
        </w:rPr>
        <w:t>про накладення адміністративного стягнення</w:t>
      </w:r>
      <w:r w:rsidR="005276B6" w:rsidRPr="008F726B">
        <w:rPr>
          <w:sz w:val="28"/>
          <w:szCs w:val="28"/>
          <w:lang w:val="uk-UA"/>
        </w:rPr>
        <w:t xml:space="preserve"> у справах про ПМП</w:t>
      </w:r>
      <w:r w:rsidR="00367E72" w:rsidRPr="008F726B">
        <w:rPr>
          <w:sz w:val="28"/>
          <w:szCs w:val="28"/>
          <w:lang w:val="uk-UA"/>
        </w:rPr>
        <w:t>;</w:t>
      </w:r>
    </w:p>
    <w:p w:rsidR="00CB1CF2" w:rsidRPr="008F726B" w:rsidRDefault="00CB1CF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кількість постанов про закриття провадження у справі</w:t>
      </w:r>
      <w:r w:rsidR="005276B6" w:rsidRPr="008F726B">
        <w:rPr>
          <w:sz w:val="28"/>
          <w:szCs w:val="28"/>
          <w:lang w:val="uk-UA"/>
        </w:rPr>
        <w:t xml:space="preserve"> про ПМП</w:t>
      </w:r>
      <w:r w:rsidRPr="008F726B">
        <w:rPr>
          <w:sz w:val="28"/>
          <w:szCs w:val="28"/>
          <w:lang w:val="uk-UA"/>
        </w:rPr>
        <w:t>;</w:t>
      </w:r>
    </w:p>
    <w:p w:rsidR="00CB1CF2" w:rsidRPr="008F726B" w:rsidRDefault="00CB1CF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>загальна сума стягнених штрафів</w:t>
      </w:r>
      <w:r w:rsidR="0099607B" w:rsidRPr="008F726B">
        <w:rPr>
          <w:sz w:val="28"/>
          <w:szCs w:val="28"/>
          <w:lang w:val="uk-UA"/>
        </w:rPr>
        <w:t xml:space="preserve"> та </w:t>
      </w:r>
      <w:r w:rsidR="00E02953" w:rsidRPr="008F726B">
        <w:rPr>
          <w:sz w:val="28"/>
          <w:szCs w:val="28"/>
          <w:lang w:val="uk-UA"/>
        </w:rPr>
        <w:t xml:space="preserve">загальна </w:t>
      </w:r>
      <w:r w:rsidR="0099607B" w:rsidRPr="008F726B">
        <w:rPr>
          <w:sz w:val="28"/>
          <w:szCs w:val="28"/>
          <w:lang w:val="uk-UA"/>
        </w:rPr>
        <w:t xml:space="preserve">вартість </w:t>
      </w:r>
      <w:r w:rsidR="00C57D0C" w:rsidRPr="008F726B">
        <w:rPr>
          <w:sz w:val="28"/>
          <w:szCs w:val="28"/>
          <w:lang w:val="uk-UA"/>
        </w:rPr>
        <w:t>конфіскованих товарів/транспортних засобів</w:t>
      </w:r>
      <w:r w:rsidR="00B77491" w:rsidRPr="008F726B">
        <w:rPr>
          <w:color w:val="000000"/>
          <w:sz w:val="28"/>
          <w:szCs w:val="28"/>
          <w:lang w:val="uk-UA" w:eastAsia="uk-UA"/>
        </w:rPr>
        <w:t>;</w:t>
      </w:r>
    </w:p>
    <w:p w:rsidR="009105B6" w:rsidRPr="008F726B" w:rsidRDefault="009105B6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8F726B">
        <w:rPr>
          <w:sz w:val="28"/>
          <w:szCs w:val="28"/>
          <w:lang w:val="uk-UA"/>
        </w:rPr>
        <w:t xml:space="preserve">кількість протоколів про ПМП, складених на підставі частини четвертої статті 470 </w:t>
      </w:r>
      <w:proofErr w:type="spellStart"/>
      <w:r w:rsidR="000B2B4C">
        <w:rPr>
          <w:sz w:val="28"/>
          <w:szCs w:val="28"/>
          <w:lang w:val="uk-UA"/>
        </w:rPr>
        <w:t>МК</w:t>
      </w:r>
      <w:proofErr w:type="spellEnd"/>
      <w:r w:rsidR="000B2B4C">
        <w:rPr>
          <w:sz w:val="28"/>
          <w:szCs w:val="28"/>
          <w:lang w:val="uk-UA"/>
        </w:rPr>
        <w:t xml:space="preserve"> України</w:t>
      </w:r>
      <w:r w:rsidRPr="008F726B">
        <w:rPr>
          <w:sz w:val="28"/>
          <w:szCs w:val="28"/>
          <w:lang w:val="uk-UA"/>
        </w:rPr>
        <w:t xml:space="preserve"> та частини третьої статті 481 </w:t>
      </w:r>
      <w:proofErr w:type="spellStart"/>
      <w:r w:rsidR="000B2B4C">
        <w:rPr>
          <w:sz w:val="28"/>
          <w:szCs w:val="28"/>
          <w:lang w:val="uk-UA"/>
        </w:rPr>
        <w:t>МК</w:t>
      </w:r>
      <w:proofErr w:type="spellEnd"/>
      <w:r w:rsidR="000B2B4C">
        <w:rPr>
          <w:sz w:val="28"/>
          <w:szCs w:val="28"/>
          <w:lang w:val="uk-UA"/>
        </w:rPr>
        <w:t xml:space="preserve"> України</w:t>
      </w:r>
      <w:r w:rsidR="00E02953" w:rsidRPr="008F726B">
        <w:rPr>
          <w:sz w:val="28"/>
          <w:szCs w:val="28"/>
          <w:lang w:val="uk-UA"/>
        </w:rPr>
        <w:t>, та</w:t>
      </w:r>
      <w:r w:rsidRPr="008F726B">
        <w:rPr>
          <w:sz w:val="28"/>
          <w:szCs w:val="28"/>
          <w:lang w:val="uk-UA"/>
        </w:rPr>
        <w:t xml:space="preserve"> загальна сума стягнених штрафів</w:t>
      </w:r>
      <w:r w:rsidR="00E02953" w:rsidRPr="008F726B">
        <w:rPr>
          <w:sz w:val="28"/>
          <w:szCs w:val="28"/>
          <w:lang w:val="uk-UA"/>
        </w:rPr>
        <w:t xml:space="preserve"> та </w:t>
      </w:r>
      <w:r w:rsidR="00E02953" w:rsidRPr="008F726B">
        <w:rPr>
          <w:color w:val="000000"/>
          <w:sz w:val="28"/>
          <w:szCs w:val="28"/>
          <w:lang w:val="uk-UA" w:eastAsia="uk-UA"/>
        </w:rPr>
        <w:t>вартість</w:t>
      </w:r>
      <w:r w:rsidR="00B77491" w:rsidRPr="008F726B">
        <w:rPr>
          <w:color w:val="000000"/>
          <w:sz w:val="28"/>
          <w:szCs w:val="28"/>
          <w:lang w:val="uk-UA" w:eastAsia="uk-UA"/>
        </w:rPr>
        <w:t xml:space="preserve"> конфіскованих</w:t>
      </w:r>
      <w:r w:rsidR="00E02953" w:rsidRPr="008F726B">
        <w:rPr>
          <w:color w:val="000000"/>
          <w:sz w:val="28"/>
          <w:szCs w:val="28"/>
          <w:lang w:val="uk-UA" w:eastAsia="uk-UA"/>
        </w:rPr>
        <w:t xml:space="preserve"> </w:t>
      </w:r>
      <w:r w:rsidR="00B77491" w:rsidRPr="008F726B">
        <w:rPr>
          <w:color w:val="000000"/>
          <w:sz w:val="28"/>
          <w:szCs w:val="28"/>
          <w:lang w:val="uk-UA" w:eastAsia="uk-UA"/>
        </w:rPr>
        <w:t>товарів/транспортних засобів</w:t>
      </w:r>
      <w:r w:rsidR="00BA09AD" w:rsidRPr="008F726B">
        <w:rPr>
          <w:color w:val="000000"/>
          <w:sz w:val="28"/>
          <w:szCs w:val="28"/>
          <w:lang w:val="uk-UA" w:eastAsia="uk-UA"/>
        </w:rPr>
        <w:t xml:space="preserve"> згідно з постановами</w:t>
      </w:r>
      <w:r w:rsidR="00B77491" w:rsidRPr="008F726B">
        <w:rPr>
          <w:color w:val="000000"/>
          <w:sz w:val="28"/>
          <w:szCs w:val="28"/>
          <w:lang w:val="uk-UA" w:eastAsia="uk-UA"/>
        </w:rPr>
        <w:t xml:space="preserve"> у </w:t>
      </w:r>
      <w:r w:rsidR="00BA09AD" w:rsidRPr="008F726B">
        <w:rPr>
          <w:color w:val="000000"/>
          <w:sz w:val="28"/>
          <w:szCs w:val="28"/>
          <w:lang w:val="uk-UA" w:eastAsia="uk-UA"/>
        </w:rPr>
        <w:t>так</w:t>
      </w:r>
      <w:r w:rsidR="00B77491" w:rsidRPr="008F726B">
        <w:rPr>
          <w:color w:val="000000"/>
          <w:sz w:val="28"/>
          <w:szCs w:val="28"/>
          <w:lang w:val="uk-UA" w:eastAsia="uk-UA"/>
        </w:rPr>
        <w:t>их справах</w:t>
      </w:r>
      <w:r w:rsidRPr="008F726B">
        <w:rPr>
          <w:sz w:val="28"/>
          <w:szCs w:val="28"/>
          <w:lang w:val="uk-UA"/>
        </w:rPr>
        <w:t xml:space="preserve">.  </w:t>
      </w:r>
    </w:p>
    <w:p w:rsidR="00D44042" w:rsidRPr="008F726B" w:rsidRDefault="00D44042" w:rsidP="00BA09AD">
      <w:pPr>
        <w:pStyle w:val="1"/>
        <w:tabs>
          <w:tab w:val="left" w:pos="9921"/>
        </w:tabs>
        <w:spacing w:before="120"/>
        <w:jc w:val="center"/>
        <w:rPr>
          <w:b/>
          <w:sz w:val="28"/>
          <w:szCs w:val="28"/>
          <w:lang w:val="uk-UA"/>
        </w:rPr>
      </w:pPr>
      <w:r w:rsidRPr="008F726B">
        <w:rPr>
          <w:b/>
          <w:sz w:val="28"/>
          <w:szCs w:val="28"/>
          <w:lang w:val="uk-UA"/>
        </w:rPr>
        <w:t>IX. Заходи, за допомогою яких буде здійснюватися відстеження результативності регуляторного акта</w:t>
      </w:r>
    </w:p>
    <w:p w:rsidR="00B91AA5" w:rsidRPr="008F726B" w:rsidRDefault="00B91AA5" w:rsidP="00BA09AD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uk-UA"/>
        </w:rPr>
      </w:pPr>
      <w:r w:rsidRPr="008F726B">
        <w:rPr>
          <w:szCs w:val="28"/>
          <w:lang w:eastAsia="uk-UA"/>
        </w:rPr>
        <w:t xml:space="preserve">Базове відстеження результативності регуляторного акта буде здійснюватись протягом року після набрання ним чинності шляхом аналізу статистичних даних, отриманих від </w:t>
      </w:r>
      <w:r w:rsidR="000B2B4C">
        <w:rPr>
          <w:szCs w:val="28"/>
          <w:lang w:eastAsia="uk-UA"/>
        </w:rPr>
        <w:t>ДФС</w:t>
      </w:r>
      <w:r w:rsidRPr="008F726B">
        <w:rPr>
          <w:szCs w:val="28"/>
          <w:lang w:eastAsia="uk-UA"/>
        </w:rPr>
        <w:t>.</w:t>
      </w:r>
    </w:p>
    <w:p w:rsidR="00B91AA5" w:rsidRPr="008F726B" w:rsidRDefault="00B91AA5" w:rsidP="00BA09AD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uk-UA"/>
        </w:rPr>
      </w:pPr>
      <w:r w:rsidRPr="008F726B">
        <w:rPr>
          <w:szCs w:val="28"/>
          <w:lang w:eastAsia="uk-UA"/>
        </w:rPr>
        <w:t xml:space="preserve">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даних, отриманих від </w:t>
      </w:r>
      <w:r w:rsidR="000B2B4C">
        <w:rPr>
          <w:szCs w:val="28"/>
          <w:lang w:eastAsia="uk-UA"/>
        </w:rPr>
        <w:t xml:space="preserve">ДВС, </w:t>
      </w:r>
      <w:r w:rsidRPr="008F726B">
        <w:rPr>
          <w:szCs w:val="28"/>
          <w:lang w:eastAsia="uk-UA"/>
        </w:rPr>
        <w:t>порівнян</w:t>
      </w:r>
      <w:r w:rsidR="000B2B4C">
        <w:rPr>
          <w:szCs w:val="28"/>
          <w:lang w:eastAsia="uk-UA"/>
        </w:rPr>
        <w:t>о</w:t>
      </w:r>
      <w:r w:rsidRPr="008F726B">
        <w:rPr>
          <w:szCs w:val="28"/>
          <w:lang w:eastAsia="uk-UA"/>
        </w:rPr>
        <w:t xml:space="preserve"> з показниками результативності, які були отримані при базовому відстеженні.</w:t>
      </w:r>
    </w:p>
    <w:p w:rsidR="00B91AA5" w:rsidRPr="008F726B" w:rsidRDefault="00B91AA5" w:rsidP="00BA09AD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uk-UA"/>
        </w:rPr>
      </w:pPr>
      <w:r w:rsidRPr="008F726B">
        <w:rPr>
          <w:szCs w:val="28"/>
          <w:lang w:eastAsia="uk-UA"/>
        </w:rPr>
        <w:t xml:space="preserve">Періодичне відстеження  буде здійснюватися раз на три роки, починаючи </w:t>
      </w:r>
      <w:r w:rsidRPr="008F726B">
        <w:rPr>
          <w:szCs w:val="28"/>
          <w:lang w:eastAsia="uk-UA"/>
        </w:rPr>
        <w:lastRenderedPageBreak/>
        <w:t xml:space="preserve">з дня виконання заходів з повторного відстеження, шляхом аналізу статистичних даних, отриманих від </w:t>
      </w:r>
      <w:r w:rsidR="000B2B4C">
        <w:rPr>
          <w:szCs w:val="28"/>
          <w:lang w:eastAsia="uk-UA"/>
        </w:rPr>
        <w:t>ДФС</w:t>
      </w:r>
      <w:r w:rsidRPr="008F726B">
        <w:rPr>
          <w:szCs w:val="28"/>
          <w:lang w:eastAsia="uk-UA"/>
        </w:rPr>
        <w:t>, порівнян</w:t>
      </w:r>
      <w:r w:rsidR="000B2B4C">
        <w:rPr>
          <w:szCs w:val="28"/>
          <w:lang w:eastAsia="uk-UA"/>
        </w:rPr>
        <w:t>о</w:t>
      </w:r>
      <w:r w:rsidRPr="008F726B">
        <w:rPr>
          <w:szCs w:val="28"/>
          <w:lang w:eastAsia="uk-UA"/>
        </w:rPr>
        <w:t xml:space="preserve"> із значеннями аналогічних показників, встановлених під час попередніх відстежень.</w:t>
      </w:r>
    </w:p>
    <w:p w:rsidR="00BA09AD" w:rsidRPr="008F726B" w:rsidRDefault="00BA09AD" w:rsidP="00513E41">
      <w:pPr>
        <w:pStyle w:val="a5"/>
        <w:spacing w:before="120" w:after="0"/>
        <w:ind w:left="0" w:right="-2"/>
        <w:rPr>
          <w:szCs w:val="28"/>
        </w:rPr>
      </w:pPr>
    </w:p>
    <w:p w:rsidR="008A4F9E" w:rsidRDefault="008A4F9E" w:rsidP="00551ADA">
      <w:pPr>
        <w:rPr>
          <w:b/>
          <w:szCs w:val="28"/>
        </w:rPr>
      </w:pPr>
      <w:proofErr w:type="spellStart"/>
      <w:r>
        <w:rPr>
          <w:b/>
          <w:szCs w:val="28"/>
        </w:rPr>
        <w:t>В.о</w:t>
      </w:r>
      <w:proofErr w:type="spellEnd"/>
      <w:r>
        <w:rPr>
          <w:b/>
          <w:szCs w:val="28"/>
        </w:rPr>
        <w:t>. Голови Державної</w:t>
      </w:r>
    </w:p>
    <w:p w:rsidR="00A06D3A" w:rsidRPr="008F726B" w:rsidRDefault="000B2B4C" w:rsidP="00551ADA">
      <w:pPr>
        <w:rPr>
          <w:szCs w:val="28"/>
        </w:rPr>
      </w:pPr>
      <w:r>
        <w:rPr>
          <w:b/>
          <w:szCs w:val="28"/>
        </w:rPr>
        <w:t>ф</w:t>
      </w:r>
      <w:r w:rsidR="008A4F9E">
        <w:rPr>
          <w:b/>
          <w:szCs w:val="28"/>
        </w:rPr>
        <w:t xml:space="preserve">іскальної служби України                                                               М.В. </w:t>
      </w:r>
      <w:proofErr w:type="spellStart"/>
      <w:r w:rsidR="008A4F9E">
        <w:rPr>
          <w:b/>
          <w:szCs w:val="28"/>
        </w:rPr>
        <w:t>Продан</w:t>
      </w:r>
      <w:proofErr w:type="spellEnd"/>
    </w:p>
    <w:sectPr w:rsidR="00A06D3A" w:rsidRPr="008F726B" w:rsidSect="004345F3">
      <w:headerReference w:type="even" r:id="rId9"/>
      <w:headerReference w:type="default" r:id="rId10"/>
      <w:pgSz w:w="11907" w:h="16840" w:code="9"/>
      <w:pgMar w:top="851" w:right="680" w:bottom="1134" w:left="1588" w:header="567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1F" w:rsidRDefault="0087191F" w:rsidP="007E1EA7">
      <w:r>
        <w:separator/>
      </w:r>
    </w:p>
  </w:endnote>
  <w:endnote w:type="continuationSeparator" w:id="0">
    <w:p w:rsidR="0087191F" w:rsidRDefault="0087191F" w:rsidP="007E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1F" w:rsidRDefault="0087191F" w:rsidP="007E1EA7">
      <w:r>
        <w:separator/>
      </w:r>
    </w:p>
  </w:footnote>
  <w:footnote w:type="continuationSeparator" w:id="0">
    <w:p w:rsidR="0087191F" w:rsidRDefault="0087191F" w:rsidP="007E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C4" w:rsidRDefault="00E91089" w:rsidP="003853C4">
    <w:pPr>
      <w:pStyle w:val="a7"/>
      <w:framePr w:wrap="notBeside" w:vAnchor="text" w:hAnchor="page" w:x="6022" w:y="-63"/>
      <w:rPr>
        <w:rStyle w:val="a9"/>
      </w:rPr>
    </w:pPr>
    <w:r>
      <w:rPr>
        <w:rStyle w:val="a9"/>
      </w:rPr>
      <w:fldChar w:fldCharType="begin"/>
    </w:r>
    <w:r w:rsidR="003853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53C4">
      <w:rPr>
        <w:rStyle w:val="a9"/>
        <w:noProof/>
      </w:rPr>
      <w:t>8</w:t>
    </w:r>
    <w:r>
      <w:rPr>
        <w:rStyle w:val="a9"/>
      </w:rPr>
      <w:fldChar w:fldCharType="end"/>
    </w:r>
  </w:p>
  <w:p w:rsidR="003853C4" w:rsidRDefault="003853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C4" w:rsidRDefault="00E91089" w:rsidP="003853C4">
    <w:pPr>
      <w:pStyle w:val="a7"/>
      <w:framePr w:wrap="notBesid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3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59EA">
      <w:rPr>
        <w:rStyle w:val="a9"/>
        <w:noProof/>
      </w:rPr>
      <w:t>2</w:t>
    </w:r>
    <w:r>
      <w:rPr>
        <w:rStyle w:val="a9"/>
      </w:rPr>
      <w:fldChar w:fldCharType="end"/>
    </w:r>
  </w:p>
  <w:p w:rsidR="003853C4" w:rsidRDefault="003853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667"/>
    <w:multiLevelType w:val="hybridMultilevel"/>
    <w:tmpl w:val="646289D4"/>
    <w:lvl w:ilvl="0" w:tplc="A7142F2E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BEE2EDC"/>
    <w:multiLevelType w:val="hybridMultilevel"/>
    <w:tmpl w:val="A440A8E6"/>
    <w:lvl w:ilvl="0" w:tplc="D876A70A">
      <w:start w:val="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10A369D"/>
    <w:multiLevelType w:val="hybridMultilevel"/>
    <w:tmpl w:val="EFDC949A"/>
    <w:lvl w:ilvl="0" w:tplc="F16A1334">
      <w:start w:val="4"/>
      <w:numFmt w:val="bullet"/>
      <w:lvlText w:val="-"/>
      <w:lvlJc w:val="left"/>
      <w:pPr>
        <w:ind w:left="8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777B7103"/>
    <w:multiLevelType w:val="hybridMultilevel"/>
    <w:tmpl w:val="6CEE5236"/>
    <w:lvl w:ilvl="0" w:tplc="4712E122">
      <w:start w:val="4"/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042"/>
    <w:rsid w:val="000056A1"/>
    <w:rsid w:val="00031210"/>
    <w:rsid w:val="00047BD4"/>
    <w:rsid w:val="00061D61"/>
    <w:rsid w:val="0006452C"/>
    <w:rsid w:val="0007778A"/>
    <w:rsid w:val="00080BC3"/>
    <w:rsid w:val="00080C53"/>
    <w:rsid w:val="00096098"/>
    <w:rsid w:val="000A100C"/>
    <w:rsid w:val="000A5496"/>
    <w:rsid w:val="000B2B4C"/>
    <w:rsid w:val="000C0BAB"/>
    <w:rsid w:val="000D1C9B"/>
    <w:rsid w:val="000D3AA9"/>
    <w:rsid w:val="00113BCF"/>
    <w:rsid w:val="00124708"/>
    <w:rsid w:val="00136239"/>
    <w:rsid w:val="00147A59"/>
    <w:rsid w:val="0017524F"/>
    <w:rsid w:val="00180C17"/>
    <w:rsid w:val="00182F49"/>
    <w:rsid w:val="001A35E8"/>
    <w:rsid w:val="001D347B"/>
    <w:rsid w:val="001D79B7"/>
    <w:rsid w:val="001E1A9E"/>
    <w:rsid w:val="002128B4"/>
    <w:rsid w:val="0022654D"/>
    <w:rsid w:val="00253E63"/>
    <w:rsid w:val="002C30F8"/>
    <w:rsid w:val="002C6637"/>
    <w:rsid w:val="002F00CF"/>
    <w:rsid w:val="002F1475"/>
    <w:rsid w:val="002F49BF"/>
    <w:rsid w:val="0030050F"/>
    <w:rsid w:val="0030244F"/>
    <w:rsid w:val="003056EE"/>
    <w:rsid w:val="00314A1E"/>
    <w:rsid w:val="003226ED"/>
    <w:rsid w:val="00344146"/>
    <w:rsid w:val="003529D0"/>
    <w:rsid w:val="00367E72"/>
    <w:rsid w:val="00372A3A"/>
    <w:rsid w:val="003853C4"/>
    <w:rsid w:val="003B6237"/>
    <w:rsid w:val="003C1DAA"/>
    <w:rsid w:val="003E5AA0"/>
    <w:rsid w:val="004345F3"/>
    <w:rsid w:val="004359EA"/>
    <w:rsid w:val="0045759A"/>
    <w:rsid w:val="00473C6A"/>
    <w:rsid w:val="004752AA"/>
    <w:rsid w:val="00482252"/>
    <w:rsid w:val="004C2D6A"/>
    <w:rsid w:val="004C5B28"/>
    <w:rsid w:val="004F5213"/>
    <w:rsid w:val="0050130D"/>
    <w:rsid w:val="00507107"/>
    <w:rsid w:val="00513E41"/>
    <w:rsid w:val="005276B6"/>
    <w:rsid w:val="00542853"/>
    <w:rsid w:val="00551A6A"/>
    <w:rsid w:val="00551ADA"/>
    <w:rsid w:val="00562852"/>
    <w:rsid w:val="005A352B"/>
    <w:rsid w:val="005A559C"/>
    <w:rsid w:val="005B5239"/>
    <w:rsid w:val="005C3E4E"/>
    <w:rsid w:val="005C5B22"/>
    <w:rsid w:val="005D6BC1"/>
    <w:rsid w:val="005E1714"/>
    <w:rsid w:val="00641C4E"/>
    <w:rsid w:val="00652594"/>
    <w:rsid w:val="0067443D"/>
    <w:rsid w:val="006A16DD"/>
    <w:rsid w:val="006C0C02"/>
    <w:rsid w:val="006C586F"/>
    <w:rsid w:val="006C6886"/>
    <w:rsid w:val="006C6D1A"/>
    <w:rsid w:val="00704227"/>
    <w:rsid w:val="0071016C"/>
    <w:rsid w:val="0071116C"/>
    <w:rsid w:val="007167D0"/>
    <w:rsid w:val="007179DF"/>
    <w:rsid w:val="0072560B"/>
    <w:rsid w:val="007270C0"/>
    <w:rsid w:val="00771537"/>
    <w:rsid w:val="007965C1"/>
    <w:rsid w:val="007A542B"/>
    <w:rsid w:val="007E1EA7"/>
    <w:rsid w:val="00816E5D"/>
    <w:rsid w:val="00852F91"/>
    <w:rsid w:val="00857A9D"/>
    <w:rsid w:val="0087191F"/>
    <w:rsid w:val="00875FD2"/>
    <w:rsid w:val="008A4F9E"/>
    <w:rsid w:val="008A5493"/>
    <w:rsid w:val="008D2BF1"/>
    <w:rsid w:val="008D40CC"/>
    <w:rsid w:val="008D6297"/>
    <w:rsid w:val="008D666F"/>
    <w:rsid w:val="008F5875"/>
    <w:rsid w:val="008F6386"/>
    <w:rsid w:val="008F6659"/>
    <w:rsid w:val="008F726B"/>
    <w:rsid w:val="009105B6"/>
    <w:rsid w:val="00912695"/>
    <w:rsid w:val="009140F8"/>
    <w:rsid w:val="00941A03"/>
    <w:rsid w:val="009571C7"/>
    <w:rsid w:val="00963F7C"/>
    <w:rsid w:val="00980E75"/>
    <w:rsid w:val="009856E9"/>
    <w:rsid w:val="00993E9B"/>
    <w:rsid w:val="0099607B"/>
    <w:rsid w:val="009A0ED3"/>
    <w:rsid w:val="009C01BB"/>
    <w:rsid w:val="00A06D3A"/>
    <w:rsid w:val="00A22E52"/>
    <w:rsid w:val="00A23538"/>
    <w:rsid w:val="00A70751"/>
    <w:rsid w:val="00A968F4"/>
    <w:rsid w:val="00AE3489"/>
    <w:rsid w:val="00B20CB8"/>
    <w:rsid w:val="00B76CA8"/>
    <w:rsid w:val="00B77491"/>
    <w:rsid w:val="00B91AA5"/>
    <w:rsid w:val="00BA09AD"/>
    <w:rsid w:val="00BA14FE"/>
    <w:rsid w:val="00BC35AB"/>
    <w:rsid w:val="00BD2B67"/>
    <w:rsid w:val="00BE33A9"/>
    <w:rsid w:val="00BE6444"/>
    <w:rsid w:val="00BF120A"/>
    <w:rsid w:val="00C10125"/>
    <w:rsid w:val="00C221A9"/>
    <w:rsid w:val="00C318EE"/>
    <w:rsid w:val="00C53EF0"/>
    <w:rsid w:val="00C57D0C"/>
    <w:rsid w:val="00C6044B"/>
    <w:rsid w:val="00C84582"/>
    <w:rsid w:val="00CB0932"/>
    <w:rsid w:val="00CB1CF2"/>
    <w:rsid w:val="00CE39B7"/>
    <w:rsid w:val="00CE3A52"/>
    <w:rsid w:val="00D00E0E"/>
    <w:rsid w:val="00D030FD"/>
    <w:rsid w:val="00D142C6"/>
    <w:rsid w:val="00D20CEE"/>
    <w:rsid w:val="00D433D6"/>
    <w:rsid w:val="00D44042"/>
    <w:rsid w:val="00D53454"/>
    <w:rsid w:val="00D5713B"/>
    <w:rsid w:val="00D74AA2"/>
    <w:rsid w:val="00D80ED1"/>
    <w:rsid w:val="00DA7B5D"/>
    <w:rsid w:val="00DB6A04"/>
    <w:rsid w:val="00DE63D7"/>
    <w:rsid w:val="00E02953"/>
    <w:rsid w:val="00E16A99"/>
    <w:rsid w:val="00E16CA8"/>
    <w:rsid w:val="00E322D6"/>
    <w:rsid w:val="00E40CC9"/>
    <w:rsid w:val="00E60364"/>
    <w:rsid w:val="00E65379"/>
    <w:rsid w:val="00E81C17"/>
    <w:rsid w:val="00E85488"/>
    <w:rsid w:val="00E91089"/>
    <w:rsid w:val="00E9705E"/>
    <w:rsid w:val="00EE5E0E"/>
    <w:rsid w:val="00EE701D"/>
    <w:rsid w:val="00F01093"/>
    <w:rsid w:val="00F15274"/>
    <w:rsid w:val="00F20F8A"/>
    <w:rsid w:val="00F22598"/>
    <w:rsid w:val="00F33B0D"/>
    <w:rsid w:val="00F770F2"/>
    <w:rsid w:val="00F77208"/>
    <w:rsid w:val="00FC16F1"/>
    <w:rsid w:val="00FE0C02"/>
    <w:rsid w:val="00F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44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04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D44042"/>
    <w:pPr>
      <w:jc w:val="both"/>
    </w:pPr>
  </w:style>
  <w:style w:type="character" w:customStyle="1" w:styleId="a4">
    <w:name w:val="Основной текст Знак"/>
    <w:basedOn w:val="a0"/>
    <w:link w:val="a3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D440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rsid w:val="00D44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rsid w:val="00D44042"/>
  </w:style>
  <w:style w:type="paragraph" w:customStyle="1" w:styleId="1">
    <w:name w:val="Обычный1"/>
    <w:rsid w:val="00D44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D44042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sz w:val="24"/>
      <w:szCs w:val="24"/>
      <w:lang w:eastAsia="uk-UA"/>
    </w:rPr>
  </w:style>
  <w:style w:type="paragraph" w:customStyle="1" w:styleId="StyleZakonu">
    <w:name w:val="StyleZakonu"/>
    <w:basedOn w:val="a"/>
    <w:link w:val="StyleZakonu0"/>
    <w:rsid w:val="00D44042"/>
    <w:pPr>
      <w:spacing w:after="60" w:line="220" w:lineRule="exact"/>
      <w:ind w:firstLine="284"/>
      <w:jc w:val="both"/>
    </w:pPr>
    <w:rPr>
      <w:sz w:val="20"/>
    </w:rPr>
  </w:style>
  <w:style w:type="character" w:customStyle="1" w:styleId="StyleZakonu0">
    <w:name w:val="StyleZakonu Знак"/>
    <w:link w:val="StyleZakonu"/>
    <w:locked/>
    <w:rsid w:val="00D440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aliases w:val="Обычный (веб) Знак,Знак1 Знак,Знак1 Знак Знак,Знак1 Знак Знак Знак Знак Знак Знак Знак,Знак1,Обычный (веб) Знак2,Обычный (веб) Знак1 Знак,Обычный (веб) Знак Знак Знак,Знак1 Знак1 Знак Знак Знак Знак"/>
    <w:basedOn w:val="a"/>
    <w:link w:val="10"/>
    <w:rsid w:val="00D440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Обычный (веб) Знак1"/>
    <w:aliases w:val="Обычный (веб) Знак Знак,Знак1 Знак Знак1,Знак1 Знак Знак Знак,Знак1 Знак Знак Знак Знак Знак Знак Знак Знак,Знак1 Знак1,Обычный (веб) Знак2 Знак,Обычный (веб) Знак1 Знак Знак,Обычный (веб) Знак Знак Знак Знак"/>
    <w:link w:val="aa"/>
    <w:rsid w:val="00D4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75FD2"/>
    <w:pPr>
      <w:ind w:left="720"/>
      <w:contextualSpacing/>
    </w:pPr>
  </w:style>
  <w:style w:type="character" w:customStyle="1" w:styleId="FontStyle21">
    <w:name w:val="Font Style21"/>
    <w:uiPriority w:val="99"/>
    <w:rsid w:val="00A22E5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80BC3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080BC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F0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0C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E6537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Основной текст Знак1"/>
    <w:aliases w:val="Основной текст Знак Знак"/>
    <w:basedOn w:val="a0"/>
    <w:rsid w:val="008F726B"/>
    <w:rPr>
      <w:sz w:val="28"/>
      <w:lang w:val="uk-UA" w:eastAsia="ru-RU" w:bidi="ar-SA"/>
    </w:rPr>
  </w:style>
  <w:style w:type="paragraph" w:customStyle="1" w:styleId="rvps1">
    <w:name w:val="rvps1"/>
    <w:basedOn w:val="a"/>
    <w:rsid w:val="00B76C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B76CA8"/>
  </w:style>
  <w:style w:type="paragraph" w:customStyle="1" w:styleId="rvps4">
    <w:name w:val="rvps4"/>
    <w:basedOn w:val="a"/>
    <w:rsid w:val="00B76C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76CA8"/>
  </w:style>
  <w:style w:type="paragraph" w:customStyle="1" w:styleId="rvps7">
    <w:name w:val="rvps7"/>
    <w:basedOn w:val="a"/>
    <w:rsid w:val="00B76C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B76CA8"/>
  </w:style>
  <w:style w:type="paragraph" w:customStyle="1" w:styleId="rvps14">
    <w:name w:val="rvps14"/>
    <w:basedOn w:val="a"/>
    <w:rsid w:val="00B76C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B76CA8"/>
  </w:style>
  <w:style w:type="paragraph" w:customStyle="1" w:styleId="rvps6">
    <w:name w:val="rvps6"/>
    <w:basedOn w:val="a"/>
    <w:rsid w:val="00B76CA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7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B6728-CD99-4156-AE01-BFEF1255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3706</Words>
  <Characters>21125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2017-04-19T14:45:00Z</cp:lastPrinted>
  <dcterms:created xsi:type="dcterms:W3CDTF">2017-04-19T14:45:00Z</dcterms:created>
  <dcterms:modified xsi:type="dcterms:W3CDTF">2017-04-19T14:45:00Z</dcterms:modified>
</cp:coreProperties>
</file>