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АНАЛІЗ РЕГУЛЯТОРНОГО ВПЛИВУ</w:t>
      </w:r>
    </w:p>
    <w:p w:rsidR="00DA122C" w:rsidRPr="00EB2D7E" w:rsidRDefault="00DA122C" w:rsidP="008E3EDA">
      <w:pPr>
        <w:widowControl w:val="0"/>
        <w:spacing w:before="60"/>
        <w:jc w:val="center"/>
        <w:rPr>
          <w:b/>
          <w:sz w:val="28"/>
          <w:szCs w:val="28"/>
          <w:lang w:val="uk-UA"/>
        </w:rPr>
      </w:pPr>
      <w:r w:rsidRPr="00EB2D7E">
        <w:rPr>
          <w:b/>
          <w:sz w:val="28"/>
          <w:szCs w:val="28"/>
          <w:lang w:val="uk-UA"/>
        </w:rPr>
        <w:t xml:space="preserve">проекту </w:t>
      </w:r>
      <w:r>
        <w:rPr>
          <w:b/>
          <w:sz w:val="28"/>
          <w:szCs w:val="28"/>
          <w:lang w:val="uk-UA"/>
        </w:rPr>
        <w:t>наказу</w:t>
      </w:r>
      <w:r w:rsidRPr="00EB2D7E">
        <w:rPr>
          <w:b/>
          <w:sz w:val="28"/>
          <w:szCs w:val="28"/>
          <w:lang w:val="uk-UA"/>
        </w:rPr>
        <w:t xml:space="preserve"> </w:t>
      </w:r>
      <w:r>
        <w:rPr>
          <w:b/>
          <w:sz w:val="28"/>
          <w:szCs w:val="28"/>
          <w:lang w:val="uk-UA"/>
        </w:rPr>
        <w:t>Міністерства фінансів</w:t>
      </w:r>
      <w:r w:rsidRPr="00EB2D7E">
        <w:rPr>
          <w:b/>
          <w:sz w:val="28"/>
          <w:szCs w:val="28"/>
          <w:lang w:val="uk-UA"/>
        </w:rPr>
        <w:t xml:space="preserve"> України </w:t>
      </w:r>
    </w:p>
    <w:p w:rsidR="00DA122C" w:rsidRDefault="00DA122C" w:rsidP="008E3EDA">
      <w:pPr>
        <w:pStyle w:val="Heading3"/>
        <w:widowControl w:val="0"/>
        <w:spacing w:before="60" w:beforeAutospacing="0" w:after="0" w:afterAutospacing="0"/>
        <w:jc w:val="center"/>
        <w:rPr>
          <w:bCs w:val="0"/>
          <w:sz w:val="28"/>
          <w:szCs w:val="28"/>
          <w:lang w:val="uk-UA"/>
        </w:rPr>
      </w:pPr>
      <w:r w:rsidRPr="00122479">
        <w:rPr>
          <w:bCs w:val="0"/>
          <w:sz w:val="28"/>
          <w:szCs w:val="28"/>
          <w:lang w:val="uk-UA"/>
        </w:rPr>
        <w:t>«Про</w:t>
      </w:r>
      <w:r>
        <w:rPr>
          <w:bCs w:val="0"/>
          <w:sz w:val="28"/>
          <w:szCs w:val="28"/>
          <w:lang w:val="uk-UA"/>
        </w:rPr>
        <w:t xml:space="preserve"> затвердження форми Повідомлення про укладання</w:t>
      </w:r>
    </w:p>
    <w:p w:rsidR="00DA122C" w:rsidRPr="00122479" w:rsidRDefault="00DA122C" w:rsidP="008E3EDA">
      <w:pPr>
        <w:pStyle w:val="Heading3"/>
        <w:widowControl w:val="0"/>
        <w:spacing w:before="60" w:beforeAutospacing="0" w:after="0" w:afterAutospacing="0"/>
        <w:jc w:val="center"/>
        <w:rPr>
          <w:sz w:val="28"/>
          <w:szCs w:val="28"/>
          <w:lang w:val="uk-UA"/>
        </w:rPr>
      </w:pPr>
      <w:r>
        <w:rPr>
          <w:bCs w:val="0"/>
          <w:sz w:val="28"/>
          <w:szCs w:val="28"/>
          <w:lang w:val="uk-UA"/>
        </w:rPr>
        <w:t xml:space="preserve"> форвардного або ф’ючерсного контракту</w:t>
      </w:r>
      <w:r w:rsidRPr="00122479">
        <w:rPr>
          <w:sz w:val="28"/>
          <w:szCs w:val="28"/>
          <w:lang w:val="uk-UA"/>
        </w:rPr>
        <w:t>»</w:t>
      </w:r>
    </w:p>
    <w:p w:rsidR="00DA122C" w:rsidRPr="00EB2D7E" w:rsidRDefault="00DA122C" w:rsidP="008E3EDA">
      <w:pPr>
        <w:pStyle w:val="Heading3"/>
        <w:widowControl w:val="0"/>
        <w:spacing w:before="60" w:beforeAutospacing="0" w:after="0" w:afterAutospacing="0"/>
        <w:jc w:val="center"/>
        <w:rPr>
          <w:sz w:val="28"/>
          <w:szCs w:val="28"/>
          <w:lang w:val="uk-UA"/>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I. Визначення проблеми</w:t>
      </w:r>
    </w:p>
    <w:p w:rsidR="00DA122C" w:rsidRDefault="00DA122C" w:rsidP="008E3EDA">
      <w:pPr>
        <w:widowControl w:val="0"/>
        <w:tabs>
          <w:tab w:val="num" w:pos="0"/>
        </w:tabs>
        <w:spacing w:before="60"/>
        <w:ind w:firstLine="709"/>
        <w:jc w:val="both"/>
        <w:rPr>
          <w:sz w:val="28"/>
          <w:szCs w:val="28"/>
          <w:lang w:val="uk-UA"/>
        </w:rPr>
      </w:pPr>
      <w:r w:rsidRPr="00EB2D7E">
        <w:rPr>
          <w:sz w:val="28"/>
          <w:szCs w:val="28"/>
          <w:lang w:val="uk-UA"/>
        </w:rPr>
        <w:t xml:space="preserve">Проект </w:t>
      </w:r>
      <w:r>
        <w:rPr>
          <w:sz w:val="28"/>
          <w:szCs w:val="28"/>
          <w:lang w:val="uk-UA"/>
        </w:rPr>
        <w:t>наказу Міністерства фінансів України</w:t>
      </w:r>
      <w:r w:rsidRPr="00EB2D7E">
        <w:rPr>
          <w:sz w:val="28"/>
          <w:szCs w:val="28"/>
          <w:lang w:val="uk-UA"/>
        </w:rPr>
        <w:t xml:space="preserve"> «</w:t>
      </w:r>
      <w:r>
        <w:rPr>
          <w:sz w:val="28"/>
          <w:szCs w:val="28"/>
          <w:lang w:val="uk-UA"/>
        </w:rPr>
        <w:t>Про затвердження форми Повідомлення про укладання форвардного або ф’ючерсного контракту</w:t>
      </w:r>
      <w:r w:rsidRPr="00EB2D7E">
        <w:rPr>
          <w:sz w:val="28"/>
          <w:szCs w:val="28"/>
          <w:lang w:val="uk-UA"/>
        </w:rPr>
        <w:t xml:space="preserve">» </w:t>
      </w:r>
      <w:r>
        <w:rPr>
          <w:sz w:val="28"/>
          <w:szCs w:val="28"/>
          <w:lang w:val="uk-UA"/>
        </w:rPr>
        <w:t xml:space="preserve">       </w:t>
      </w:r>
      <w:r w:rsidRPr="00EB2D7E">
        <w:rPr>
          <w:sz w:val="28"/>
          <w:szCs w:val="28"/>
          <w:lang w:val="uk-UA"/>
        </w:rPr>
        <w:t xml:space="preserve">(далі – проект </w:t>
      </w:r>
      <w:r>
        <w:rPr>
          <w:sz w:val="28"/>
          <w:szCs w:val="28"/>
          <w:lang w:val="uk-UA"/>
        </w:rPr>
        <w:t>наказу) розроблено</w:t>
      </w:r>
      <w:r w:rsidRPr="00EB2D7E">
        <w:rPr>
          <w:sz w:val="28"/>
          <w:szCs w:val="28"/>
          <w:lang w:val="uk-UA"/>
        </w:rPr>
        <w:t xml:space="preserve"> </w:t>
      </w:r>
      <w:r>
        <w:rPr>
          <w:sz w:val="28"/>
          <w:szCs w:val="28"/>
          <w:lang w:val="uk-UA"/>
        </w:rPr>
        <w:t xml:space="preserve">на </w:t>
      </w:r>
      <w:r w:rsidRPr="00EB2D7E">
        <w:rPr>
          <w:sz w:val="28"/>
          <w:szCs w:val="28"/>
          <w:lang w:val="uk-UA"/>
        </w:rPr>
        <w:t xml:space="preserve">виконання </w:t>
      </w:r>
      <w:r>
        <w:rPr>
          <w:sz w:val="28"/>
          <w:szCs w:val="28"/>
          <w:lang w:val="uk-UA"/>
        </w:rPr>
        <w:t>Закону України</w:t>
      </w:r>
      <w:r w:rsidRPr="00362495">
        <w:rPr>
          <w:sz w:val="28"/>
          <w:szCs w:val="28"/>
          <w:lang w:val="uk-UA"/>
        </w:rPr>
        <w:t xml:space="preserve"> </w:t>
      </w:r>
      <w:r>
        <w:rPr>
          <w:sz w:val="28"/>
          <w:szCs w:val="28"/>
          <w:lang w:val="uk-UA"/>
        </w:rPr>
        <w:t xml:space="preserve">                       від </w:t>
      </w:r>
      <w:r w:rsidRPr="005A1A0D">
        <w:rPr>
          <w:sz w:val="28"/>
          <w:szCs w:val="28"/>
          <w:lang w:val="uk-UA"/>
        </w:rPr>
        <w:t xml:space="preserve">21 </w:t>
      </w:r>
      <w:r>
        <w:rPr>
          <w:sz w:val="28"/>
          <w:szCs w:val="28"/>
          <w:lang w:val="uk-UA"/>
        </w:rPr>
        <w:t xml:space="preserve">грудня 2016 року </w:t>
      </w:r>
      <w:r w:rsidRPr="00362495">
        <w:rPr>
          <w:sz w:val="28"/>
          <w:szCs w:val="28"/>
          <w:lang w:val="uk-UA"/>
        </w:rPr>
        <w:t>№ 1797-</w:t>
      </w:r>
      <w:r w:rsidRPr="009471AB">
        <w:rPr>
          <w:sz w:val="28"/>
          <w:szCs w:val="28"/>
        </w:rPr>
        <w:t>V</w:t>
      </w:r>
      <w:r w:rsidRPr="00362495">
        <w:rPr>
          <w:sz w:val="28"/>
          <w:szCs w:val="28"/>
          <w:lang w:val="uk-UA"/>
        </w:rPr>
        <w:t>ІІІ «Про внесення змін до Податкового кодексу України щодо покращення інвестиційного клімату»</w:t>
      </w:r>
      <w:r>
        <w:rPr>
          <w:sz w:val="28"/>
          <w:szCs w:val="28"/>
          <w:lang w:val="uk-UA"/>
        </w:rPr>
        <w:t xml:space="preserve"> (далі – Закон)</w:t>
      </w:r>
      <w:r w:rsidRPr="00362495">
        <w:rPr>
          <w:sz w:val="28"/>
          <w:szCs w:val="28"/>
          <w:lang w:val="uk-UA"/>
        </w:rPr>
        <w:t xml:space="preserve">, який набув чинності </w:t>
      </w:r>
      <w:r>
        <w:rPr>
          <w:sz w:val="28"/>
          <w:szCs w:val="28"/>
          <w:lang w:val="uk-UA"/>
        </w:rPr>
        <w:t xml:space="preserve"> </w:t>
      </w:r>
      <w:r w:rsidRPr="00362495">
        <w:rPr>
          <w:sz w:val="28"/>
          <w:szCs w:val="28"/>
          <w:lang w:val="uk-UA"/>
        </w:rPr>
        <w:t xml:space="preserve">з 1 січня </w:t>
      </w:r>
      <w:r>
        <w:rPr>
          <w:sz w:val="28"/>
          <w:szCs w:val="28"/>
          <w:lang w:val="uk-UA"/>
        </w:rPr>
        <w:t xml:space="preserve"> </w:t>
      </w:r>
      <w:r w:rsidRPr="00362495">
        <w:rPr>
          <w:sz w:val="28"/>
          <w:szCs w:val="28"/>
          <w:lang w:val="uk-UA"/>
        </w:rPr>
        <w:t>2017 року</w:t>
      </w:r>
      <w:r>
        <w:rPr>
          <w:sz w:val="28"/>
          <w:szCs w:val="28"/>
          <w:lang w:val="uk-UA"/>
        </w:rPr>
        <w:t xml:space="preserve"> та </w:t>
      </w:r>
      <w:r w:rsidRPr="00EB2D7E">
        <w:rPr>
          <w:sz w:val="28"/>
          <w:szCs w:val="28"/>
          <w:lang w:val="uk-UA"/>
        </w:rPr>
        <w:t xml:space="preserve">відповідно </w:t>
      </w:r>
      <w:r>
        <w:rPr>
          <w:sz w:val="28"/>
          <w:szCs w:val="28"/>
          <w:lang w:val="uk-UA"/>
        </w:rPr>
        <w:t xml:space="preserve">до </w:t>
      </w:r>
      <w:r w:rsidRPr="00362495">
        <w:rPr>
          <w:color w:val="000000"/>
          <w:sz w:val="28"/>
          <w:szCs w:val="28"/>
          <w:lang w:val="uk-UA"/>
        </w:rPr>
        <w:t>підпункту 39.2.1.3</w:t>
      </w:r>
      <w:r>
        <w:rPr>
          <w:color w:val="000000"/>
          <w:sz w:val="28"/>
          <w:szCs w:val="28"/>
          <w:lang w:val="uk-UA"/>
        </w:rPr>
        <w:t xml:space="preserve"> підпункту 39.2.1 пункту 39.2 </w:t>
      </w:r>
      <w:r w:rsidRPr="00362495">
        <w:rPr>
          <w:color w:val="000000"/>
          <w:sz w:val="28"/>
          <w:szCs w:val="28"/>
          <w:lang w:val="uk-UA"/>
        </w:rPr>
        <w:t xml:space="preserve">та підпункту 39.3.3.3 підпункту 39.3.3 </w:t>
      </w:r>
      <w:r>
        <w:rPr>
          <w:color w:val="000000"/>
          <w:sz w:val="28"/>
          <w:szCs w:val="28"/>
          <w:lang w:val="uk-UA"/>
        </w:rPr>
        <w:t xml:space="preserve">           </w:t>
      </w:r>
      <w:r w:rsidRPr="00362495">
        <w:rPr>
          <w:color w:val="000000"/>
          <w:sz w:val="28"/>
          <w:szCs w:val="28"/>
          <w:lang w:val="uk-UA"/>
        </w:rPr>
        <w:t xml:space="preserve">пункту 39.3 статті 39 розділу </w:t>
      </w:r>
      <w:r w:rsidRPr="005D2BAF">
        <w:rPr>
          <w:color w:val="000000"/>
          <w:sz w:val="28"/>
          <w:szCs w:val="28"/>
        </w:rPr>
        <w:t>I</w:t>
      </w:r>
      <w:r w:rsidRPr="00362495">
        <w:rPr>
          <w:color w:val="000000"/>
          <w:sz w:val="28"/>
          <w:szCs w:val="28"/>
          <w:lang w:val="uk-UA"/>
        </w:rPr>
        <w:t xml:space="preserve"> Податкового кодексу України</w:t>
      </w:r>
      <w:r>
        <w:rPr>
          <w:sz w:val="28"/>
          <w:szCs w:val="28"/>
          <w:lang w:val="uk-UA"/>
        </w:rPr>
        <w:t xml:space="preserve"> (далі – Кодекс)</w:t>
      </w:r>
      <w:r w:rsidRPr="00EB2D7E">
        <w:rPr>
          <w:sz w:val="28"/>
          <w:szCs w:val="28"/>
          <w:lang w:val="uk-UA"/>
        </w:rPr>
        <w:t>.</w:t>
      </w:r>
    </w:p>
    <w:p w:rsidR="00DA122C" w:rsidRPr="00966E66" w:rsidRDefault="00DA122C" w:rsidP="00966E66">
      <w:pPr>
        <w:ind w:firstLine="567"/>
        <w:jc w:val="both"/>
        <w:rPr>
          <w:sz w:val="28"/>
          <w:szCs w:val="28"/>
          <w:lang w:val="uk-UA"/>
        </w:rPr>
      </w:pPr>
      <w:r w:rsidRPr="00966E66">
        <w:rPr>
          <w:sz w:val="28"/>
          <w:szCs w:val="28"/>
          <w:lang w:val="uk-UA"/>
        </w:rPr>
        <w:t xml:space="preserve">Відповідно до прийнятих законодавчих змін </w:t>
      </w:r>
      <w:r w:rsidRPr="00966E66">
        <w:rPr>
          <w:color w:val="000000"/>
          <w:sz w:val="28"/>
          <w:szCs w:val="28"/>
          <w:lang w:val="uk-UA"/>
        </w:rPr>
        <w:t>порівняння цін проводиться на підставі інформації про форвардні або ф’ючерсні ціни на найближчу до дати укладення відповідного форвардного або ф’ючерсного контракту дату (за умови, що платник податків повідомить центральний орган виконавчої влади, що реалізує податкову та митну політику, про укладення такого контракту засобами електронного зв’язку в електронній формі з дотриманням вимог закону щодо електронного документообігу та електронного цифрового підпису протягом 10 робочих днів з дня укладення відповідного форвардного або ф’ючерсного контракту)</w:t>
      </w:r>
      <w:r w:rsidRPr="00966E66">
        <w:rPr>
          <w:sz w:val="28"/>
          <w:szCs w:val="28"/>
          <w:lang w:val="uk-UA"/>
        </w:rPr>
        <w:t>.</w:t>
      </w:r>
    </w:p>
    <w:p w:rsidR="00DA122C" w:rsidRDefault="00DA122C" w:rsidP="00966E66">
      <w:pPr>
        <w:widowControl w:val="0"/>
        <w:tabs>
          <w:tab w:val="num" w:pos="0"/>
        </w:tabs>
        <w:spacing w:before="60"/>
        <w:ind w:firstLine="709"/>
        <w:jc w:val="both"/>
        <w:rPr>
          <w:sz w:val="28"/>
          <w:szCs w:val="28"/>
          <w:lang w:val="uk-UA"/>
        </w:rPr>
      </w:pPr>
      <w:r w:rsidRPr="00966E66">
        <w:rPr>
          <w:sz w:val="28"/>
          <w:szCs w:val="28"/>
          <w:lang w:val="uk-UA"/>
        </w:rPr>
        <w:t>Форма такого повідомлення затверджується центральним органом виконавчої влади, що забезпечує формування та реалізує державну фінансову політику</w:t>
      </w:r>
      <w:r>
        <w:rPr>
          <w:sz w:val="28"/>
          <w:szCs w:val="28"/>
        </w:rPr>
        <w:t>.</w:t>
      </w:r>
      <w:r>
        <w:rPr>
          <w:sz w:val="28"/>
          <w:szCs w:val="28"/>
          <w:lang w:val="uk-UA"/>
        </w:rPr>
        <w:t xml:space="preserve"> </w:t>
      </w:r>
    </w:p>
    <w:p w:rsidR="00DA122C" w:rsidRDefault="00DA122C" w:rsidP="008E3EDA">
      <w:pPr>
        <w:pStyle w:val="Heading3"/>
        <w:widowControl w:val="0"/>
        <w:spacing w:before="60" w:beforeAutospacing="0" w:after="0" w:afterAutospacing="0"/>
        <w:jc w:val="center"/>
        <w:rPr>
          <w:sz w:val="28"/>
          <w:szCs w:val="28"/>
          <w:lang w:val="uk-UA"/>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II. Цілі державного регулювання</w:t>
      </w:r>
    </w:p>
    <w:p w:rsidR="00DA122C" w:rsidRPr="005C11D4" w:rsidRDefault="00DA122C" w:rsidP="005C11D4">
      <w:pPr>
        <w:pStyle w:val="Heading2"/>
        <w:ind w:firstLine="720"/>
        <w:jc w:val="both"/>
        <w:rPr>
          <w:rFonts w:ascii="Times New Roman" w:hAnsi="Times New Roman" w:cs="Times New Roman"/>
          <w:b w:val="0"/>
          <w:bCs w:val="0"/>
          <w:i w:val="0"/>
          <w:lang w:val="uk-UA"/>
        </w:rPr>
      </w:pPr>
      <w:r w:rsidRPr="005C11D4">
        <w:rPr>
          <w:rFonts w:ascii="Times New Roman" w:hAnsi="Times New Roman" w:cs="Times New Roman"/>
          <w:b w:val="0"/>
          <w:bCs w:val="0"/>
          <w:i w:val="0"/>
          <w:lang w:val="uk-UA"/>
        </w:rPr>
        <w:t xml:space="preserve">Проект наказу спрямований на забезпечення унеможливлення ризиків </w:t>
      </w:r>
      <w:r>
        <w:rPr>
          <w:rFonts w:ascii="Times New Roman" w:hAnsi="Times New Roman" w:cs="Times New Roman"/>
          <w:b w:val="0"/>
          <w:bCs w:val="0"/>
          <w:i w:val="0"/>
          <w:lang w:val="uk-UA"/>
        </w:rPr>
        <w:t xml:space="preserve">при порівнянні цін у разі здійснення платником податку контрольованої операції </w:t>
      </w:r>
      <w:r w:rsidRPr="005C11D4">
        <w:rPr>
          <w:rFonts w:ascii="Times New Roman" w:hAnsi="Times New Roman" w:cs="Times New Roman"/>
          <w:b w:val="0"/>
          <w:bCs w:val="0"/>
          <w:i w:val="0"/>
          <w:lang w:val="uk-UA"/>
        </w:rPr>
        <w:t xml:space="preserve">та виконання </w:t>
      </w:r>
      <w:r>
        <w:rPr>
          <w:rFonts w:ascii="Times New Roman" w:hAnsi="Times New Roman" w:cs="Times New Roman"/>
          <w:b w:val="0"/>
          <w:bCs w:val="0"/>
          <w:i w:val="0"/>
          <w:lang w:val="uk-UA"/>
        </w:rPr>
        <w:t>платниками податків</w:t>
      </w:r>
      <w:r w:rsidRPr="005C11D4">
        <w:rPr>
          <w:rFonts w:ascii="Times New Roman" w:hAnsi="Times New Roman" w:cs="Times New Roman"/>
          <w:b w:val="0"/>
          <w:bCs w:val="0"/>
          <w:i w:val="0"/>
          <w:lang w:val="uk-UA"/>
        </w:rPr>
        <w:t xml:space="preserve"> </w:t>
      </w:r>
      <w:r>
        <w:rPr>
          <w:rFonts w:ascii="Times New Roman" w:hAnsi="Times New Roman" w:cs="Times New Roman"/>
          <w:b w:val="0"/>
          <w:bCs w:val="0"/>
          <w:i w:val="0"/>
          <w:lang w:val="uk-UA"/>
        </w:rPr>
        <w:t>повною мірою</w:t>
      </w:r>
      <w:r w:rsidRPr="005C11D4">
        <w:rPr>
          <w:rFonts w:ascii="Times New Roman" w:hAnsi="Times New Roman" w:cs="Times New Roman"/>
          <w:b w:val="0"/>
          <w:bCs w:val="0"/>
          <w:i w:val="0"/>
          <w:lang w:val="uk-UA"/>
        </w:rPr>
        <w:t xml:space="preserve"> норм чинного законодавства при </w:t>
      </w:r>
      <w:r>
        <w:rPr>
          <w:rFonts w:ascii="Times New Roman" w:hAnsi="Times New Roman"/>
          <w:b w:val="0"/>
          <w:i w:val="0"/>
          <w:color w:val="000000"/>
          <w:lang w:val="uk-UA"/>
        </w:rPr>
        <w:t>повідомленні центрального</w:t>
      </w:r>
      <w:r w:rsidRPr="005C11D4">
        <w:rPr>
          <w:rFonts w:ascii="Times New Roman" w:hAnsi="Times New Roman"/>
          <w:b w:val="0"/>
          <w:i w:val="0"/>
          <w:color w:val="000000"/>
          <w:lang w:val="uk-UA"/>
        </w:rPr>
        <w:t xml:space="preserve"> орган</w:t>
      </w:r>
      <w:r>
        <w:rPr>
          <w:rFonts w:ascii="Times New Roman" w:hAnsi="Times New Roman"/>
          <w:b w:val="0"/>
          <w:i w:val="0"/>
          <w:color w:val="000000"/>
          <w:lang w:val="uk-UA"/>
        </w:rPr>
        <w:t>у</w:t>
      </w:r>
      <w:r w:rsidRPr="005C11D4">
        <w:rPr>
          <w:rFonts w:ascii="Times New Roman" w:hAnsi="Times New Roman"/>
          <w:b w:val="0"/>
          <w:i w:val="0"/>
          <w:color w:val="000000"/>
          <w:lang w:val="uk-UA"/>
        </w:rPr>
        <w:t xml:space="preserve"> виконавчої влади</w:t>
      </w:r>
      <w:r>
        <w:rPr>
          <w:rFonts w:ascii="Times New Roman" w:hAnsi="Times New Roman"/>
          <w:b w:val="0"/>
          <w:i w:val="0"/>
          <w:color w:val="000000"/>
          <w:lang w:val="uk-UA"/>
        </w:rPr>
        <w:t xml:space="preserve"> у разі укладання форвардного або ф</w:t>
      </w:r>
      <w:r>
        <w:rPr>
          <w:rFonts w:ascii="Times New Roman" w:hAnsi="Times New Roman" w:cs="Times New Roman"/>
          <w:b w:val="0"/>
          <w:i w:val="0"/>
          <w:color w:val="000000"/>
          <w:lang w:val="uk-UA"/>
        </w:rPr>
        <w:t>’</w:t>
      </w:r>
      <w:r>
        <w:rPr>
          <w:rFonts w:ascii="Times New Roman" w:hAnsi="Times New Roman"/>
          <w:b w:val="0"/>
          <w:i w:val="0"/>
          <w:color w:val="000000"/>
          <w:lang w:val="uk-UA"/>
        </w:rPr>
        <w:t>ючерсного контракту</w:t>
      </w:r>
      <w:r w:rsidRPr="005C11D4">
        <w:rPr>
          <w:rFonts w:ascii="Times New Roman" w:hAnsi="Times New Roman" w:cs="Times New Roman"/>
          <w:b w:val="0"/>
          <w:bCs w:val="0"/>
          <w:i w:val="0"/>
          <w:lang w:val="uk-UA"/>
        </w:rPr>
        <w:t>.</w:t>
      </w:r>
    </w:p>
    <w:p w:rsidR="00DA122C" w:rsidRPr="005C11D4" w:rsidRDefault="00DA122C" w:rsidP="008E3EDA">
      <w:pPr>
        <w:pStyle w:val="Heading3"/>
        <w:widowControl w:val="0"/>
        <w:spacing w:before="60" w:beforeAutospacing="0" w:after="0" w:afterAutospacing="0"/>
        <w:jc w:val="center"/>
        <w:rPr>
          <w:sz w:val="28"/>
          <w:szCs w:val="28"/>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III. Визначення та оцінка альтернативних способів досягнення цілей</w:t>
      </w:r>
    </w:p>
    <w:p w:rsidR="00DA122C" w:rsidRPr="00EB2D7E" w:rsidRDefault="00DA122C" w:rsidP="008E3EDA">
      <w:pPr>
        <w:pStyle w:val="NormalWeb"/>
        <w:widowControl w:val="0"/>
        <w:spacing w:before="60" w:beforeAutospacing="0" w:after="0" w:afterAutospacing="0"/>
        <w:ind w:firstLine="720"/>
        <w:jc w:val="both"/>
        <w:rPr>
          <w:sz w:val="28"/>
          <w:szCs w:val="28"/>
          <w:lang w:val="uk-UA"/>
        </w:rPr>
      </w:pPr>
      <w:r w:rsidRPr="00EB2D7E">
        <w:rPr>
          <w:sz w:val="28"/>
          <w:szCs w:val="28"/>
          <w:lang w:val="uk-UA"/>
        </w:rPr>
        <w:t>1. Альтернативні способи досягнення цілей державного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25"/>
        <w:gridCol w:w="7890"/>
      </w:tblGrid>
      <w:tr w:rsidR="00DA122C" w:rsidRPr="00EB2D7E">
        <w:trPr>
          <w:tblCellSpacing w:w="22" w:type="dxa"/>
        </w:trPr>
        <w:tc>
          <w:tcPr>
            <w:tcW w:w="947"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Вид альтернативи</w:t>
            </w:r>
          </w:p>
        </w:tc>
        <w:tc>
          <w:tcPr>
            <w:tcW w:w="3984"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Опис альтернативи</w:t>
            </w:r>
          </w:p>
        </w:tc>
      </w:tr>
      <w:tr w:rsidR="00DA122C" w:rsidRPr="00122479">
        <w:trPr>
          <w:tblCellSpacing w:w="22" w:type="dxa"/>
        </w:trPr>
        <w:tc>
          <w:tcPr>
            <w:tcW w:w="947"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ind w:right="-68"/>
              <w:rPr>
                <w:szCs w:val="24"/>
                <w:lang w:val="uk-UA"/>
              </w:rPr>
            </w:pPr>
            <w:r w:rsidRPr="00E25F26">
              <w:rPr>
                <w:szCs w:val="24"/>
                <w:lang w:val="uk-UA"/>
              </w:rPr>
              <w:t>Альтернатива 1</w:t>
            </w:r>
          </w:p>
        </w:tc>
        <w:tc>
          <w:tcPr>
            <w:tcW w:w="3984"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ind w:firstLine="290"/>
              <w:jc w:val="both"/>
              <w:rPr>
                <w:szCs w:val="24"/>
                <w:lang w:val="uk-UA"/>
              </w:rPr>
            </w:pPr>
            <w:r>
              <w:rPr>
                <w:szCs w:val="24"/>
                <w:lang w:val="uk-UA"/>
              </w:rPr>
              <w:t>Видання</w:t>
            </w:r>
            <w:r w:rsidRPr="00E25F26">
              <w:rPr>
                <w:szCs w:val="24"/>
                <w:lang w:val="uk-UA"/>
              </w:rPr>
              <w:t xml:space="preserve"> наказу Міністерства фінансів України «Про затвердження форми Повідомлення про укладання форвардного або ф’ючерсного контракту»</w:t>
            </w:r>
          </w:p>
        </w:tc>
      </w:tr>
      <w:tr w:rsidR="00DA122C" w:rsidRPr="00EB2D7E">
        <w:trPr>
          <w:tblCellSpacing w:w="22" w:type="dxa"/>
        </w:trPr>
        <w:tc>
          <w:tcPr>
            <w:tcW w:w="947"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ind w:right="-67"/>
              <w:rPr>
                <w:szCs w:val="24"/>
                <w:lang w:val="uk-UA"/>
              </w:rPr>
            </w:pPr>
            <w:r w:rsidRPr="00E25F26">
              <w:rPr>
                <w:szCs w:val="24"/>
                <w:lang w:val="uk-UA"/>
              </w:rPr>
              <w:t>Альтернатива 2</w:t>
            </w:r>
          </w:p>
        </w:tc>
        <w:tc>
          <w:tcPr>
            <w:tcW w:w="3984"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ind w:firstLine="290"/>
              <w:jc w:val="both"/>
              <w:rPr>
                <w:szCs w:val="24"/>
                <w:lang w:val="uk-UA"/>
              </w:rPr>
            </w:pPr>
            <w:r w:rsidRPr="00E25F26">
              <w:rPr>
                <w:szCs w:val="24"/>
                <w:lang w:val="uk-UA"/>
              </w:rPr>
              <w:t>Іншого альтернативного способу для д</w:t>
            </w:r>
            <w:r>
              <w:rPr>
                <w:szCs w:val="24"/>
                <w:lang w:val="uk-UA"/>
              </w:rPr>
              <w:t>осягнення зазначеної цілі немає</w:t>
            </w:r>
          </w:p>
        </w:tc>
      </w:tr>
    </w:tbl>
    <w:p w:rsidR="00DA122C" w:rsidRPr="00EB2D7E" w:rsidRDefault="00DA122C" w:rsidP="008E3EDA">
      <w:pPr>
        <w:pStyle w:val="NormalWeb"/>
        <w:widowControl w:val="0"/>
        <w:spacing w:before="60" w:beforeAutospacing="0" w:after="0" w:afterAutospacing="0"/>
        <w:ind w:firstLine="720"/>
        <w:jc w:val="both"/>
        <w:rPr>
          <w:sz w:val="28"/>
          <w:szCs w:val="28"/>
          <w:lang w:val="uk-UA"/>
        </w:rPr>
      </w:pPr>
      <w:r w:rsidRPr="00EB2D7E">
        <w:rPr>
          <w:sz w:val="28"/>
          <w:szCs w:val="28"/>
          <w:lang w:val="uk-UA"/>
        </w:rPr>
        <w:t>2. Оцінка впливу на сферу інтересів держави</w:t>
      </w:r>
    </w:p>
    <w:tbl>
      <w:tblPr>
        <w:tblW w:w="502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26"/>
        <w:gridCol w:w="3858"/>
        <w:gridCol w:w="4088"/>
      </w:tblGrid>
      <w:tr w:rsidR="00DA122C" w:rsidRPr="00EB2D7E" w:rsidTr="00A60D5C">
        <w:trPr>
          <w:tblCellSpacing w:w="22" w:type="dxa"/>
        </w:trPr>
        <w:tc>
          <w:tcPr>
            <w:tcW w:w="941"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Вид альтернативи</w:t>
            </w:r>
          </w:p>
        </w:tc>
        <w:tc>
          <w:tcPr>
            <w:tcW w:w="1931"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Вигоди</w:t>
            </w:r>
          </w:p>
        </w:tc>
        <w:tc>
          <w:tcPr>
            <w:tcW w:w="2036"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Витрати</w:t>
            </w:r>
          </w:p>
        </w:tc>
      </w:tr>
      <w:tr w:rsidR="00DA122C" w:rsidRPr="00EB2D7E" w:rsidTr="00A60D5C">
        <w:trPr>
          <w:tblCellSpacing w:w="22" w:type="dxa"/>
        </w:trPr>
        <w:tc>
          <w:tcPr>
            <w:tcW w:w="941"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1</w:t>
            </w:r>
          </w:p>
        </w:tc>
        <w:tc>
          <w:tcPr>
            <w:tcW w:w="1931" w:type="pct"/>
            <w:tcBorders>
              <w:top w:val="outset" w:sz="6" w:space="0" w:color="auto"/>
              <w:left w:val="outset" w:sz="6" w:space="0" w:color="auto"/>
              <w:bottom w:val="outset" w:sz="6" w:space="0" w:color="auto"/>
              <w:right w:val="outset" w:sz="6" w:space="0" w:color="auto"/>
            </w:tcBorders>
          </w:tcPr>
          <w:p w:rsidR="00DA122C" w:rsidRPr="00EB2D7E" w:rsidRDefault="00DA122C" w:rsidP="008E3EDA">
            <w:pPr>
              <w:widowControl w:val="0"/>
              <w:spacing w:before="60"/>
              <w:ind w:firstLine="295"/>
              <w:jc w:val="both"/>
              <w:rPr>
                <w:lang w:val="uk-UA"/>
              </w:rPr>
            </w:pPr>
            <w:r>
              <w:rPr>
                <w:lang w:val="uk-UA"/>
              </w:rPr>
              <w:t>1</w:t>
            </w:r>
            <w:r w:rsidRPr="00EB2D7E">
              <w:rPr>
                <w:lang w:val="uk-UA"/>
              </w:rPr>
              <w:t>) Правильне застосування положень Кодексу щодо</w:t>
            </w:r>
            <w:r w:rsidRPr="00966E66">
              <w:rPr>
                <w:color w:val="000000"/>
                <w:sz w:val="28"/>
                <w:szCs w:val="28"/>
                <w:lang w:val="uk-UA"/>
              </w:rPr>
              <w:t xml:space="preserve"> </w:t>
            </w:r>
            <w:r w:rsidRPr="002C6FB3">
              <w:rPr>
                <w:color w:val="000000"/>
                <w:lang w:val="uk-UA"/>
              </w:rPr>
              <w:t>порівняння цін</w:t>
            </w:r>
            <w:r>
              <w:rPr>
                <w:color w:val="000000"/>
                <w:lang w:val="uk-UA"/>
              </w:rPr>
              <w:t>, які проводяться</w:t>
            </w:r>
            <w:r>
              <w:rPr>
                <w:lang w:val="uk-UA"/>
              </w:rPr>
              <w:t xml:space="preserve"> </w:t>
            </w:r>
            <w:r w:rsidRPr="002C6FB3">
              <w:rPr>
                <w:color w:val="000000"/>
                <w:lang w:val="uk-UA"/>
              </w:rPr>
              <w:t>на підставі інформації про форвардні або ф’ючерсні ціни на найближчу до дати укладення відповідного форвардного або ф’ючерсного контракту</w:t>
            </w:r>
            <w:r>
              <w:rPr>
                <w:color w:val="000000"/>
                <w:lang w:val="uk-UA"/>
              </w:rPr>
              <w:t xml:space="preserve"> та повідомлення платником податку центрального органу виконавчої влади протягом 10 робочих дні </w:t>
            </w:r>
            <w:r w:rsidRPr="002C6FB3">
              <w:rPr>
                <w:color w:val="000000"/>
                <w:lang w:val="uk-UA"/>
              </w:rPr>
              <w:t>з дня укладення відповідного форвардного або ф’ючерсного контракту</w:t>
            </w:r>
            <w:r w:rsidRPr="00EB2D7E">
              <w:rPr>
                <w:lang w:val="uk-UA"/>
              </w:rPr>
              <w:t>.</w:t>
            </w:r>
          </w:p>
          <w:p w:rsidR="00DA122C" w:rsidRPr="00EB2D7E" w:rsidRDefault="00DA122C" w:rsidP="008E3EDA">
            <w:pPr>
              <w:widowControl w:val="0"/>
              <w:spacing w:before="60"/>
              <w:ind w:firstLine="295"/>
              <w:jc w:val="both"/>
              <w:rPr>
                <w:lang w:val="uk-UA"/>
              </w:rPr>
            </w:pPr>
            <w:r>
              <w:rPr>
                <w:lang w:val="uk-UA"/>
              </w:rPr>
              <w:t>2</w:t>
            </w:r>
            <w:r w:rsidRPr="00EB2D7E">
              <w:rPr>
                <w:lang w:val="uk-UA"/>
              </w:rPr>
              <w:t xml:space="preserve">) Уникнення непорозумінь між контролюючими органами та </w:t>
            </w:r>
            <w:r>
              <w:rPr>
                <w:lang w:val="uk-UA"/>
              </w:rPr>
              <w:t>платниками податку</w:t>
            </w:r>
            <w:r w:rsidRPr="00EB2D7E">
              <w:rPr>
                <w:lang w:val="uk-UA"/>
              </w:rPr>
              <w:t xml:space="preserve"> </w:t>
            </w:r>
            <w:r w:rsidRPr="008B7CB9">
              <w:rPr>
                <w:lang w:val="uk-UA"/>
              </w:rPr>
              <w:t>при</w:t>
            </w:r>
            <w:r w:rsidRPr="00EB2D7E">
              <w:rPr>
                <w:sz w:val="27"/>
                <w:szCs w:val="27"/>
                <w:lang w:val="uk-UA"/>
              </w:rPr>
              <w:t xml:space="preserve"> </w:t>
            </w:r>
            <w:r w:rsidRPr="00EB2D7E">
              <w:rPr>
                <w:lang w:val="uk-UA"/>
              </w:rPr>
              <w:t xml:space="preserve">застосуванні положень </w:t>
            </w:r>
            <w:r w:rsidRPr="00EB2D7E">
              <w:rPr>
                <w:bCs/>
                <w:lang w:val="uk-UA"/>
              </w:rPr>
              <w:t>Кодексу</w:t>
            </w:r>
            <w:r w:rsidRPr="00EB2D7E">
              <w:rPr>
                <w:lang w:val="uk-UA"/>
              </w:rPr>
              <w:t xml:space="preserve"> в частині </w:t>
            </w:r>
            <w:r>
              <w:rPr>
                <w:lang w:val="uk-UA"/>
              </w:rPr>
              <w:t>порівняння цін у разі здійснення платником податку контрольованої операції на підставі форвардного або ф’ючерсного контракту</w:t>
            </w:r>
          </w:p>
        </w:tc>
        <w:tc>
          <w:tcPr>
            <w:tcW w:w="2036" w:type="pct"/>
            <w:tcBorders>
              <w:top w:val="outset" w:sz="6" w:space="0" w:color="auto"/>
              <w:left w:val="outset" w:sz="6" w:space="0" w:color="auto"/>
              <w:bottom w:val="outset" w:sz="6" w:space="0" w:color="auto"/>
            </w:tcBorders>
          </w:tcPr>
          <w:p w:rsidR="00DA122C" w:rsidRPr="00EB2D7E" w:rsidRDefault="00DA122C" w:rsidP="008E3EDA">
            <w:pPr>
              <w:widowControl w:val="0"/>
              <w:spacing w:before="60"/>
              <w:ind w:firstLine="300"/>
              <w:jc w:val="both"/>
              <w:rPr>
                <w:lang w:val="uk-UA"/>
              </w:rPr>
            </w:pPr>
            <w:r w:rsidRPr="00EB2D7E">
              <w:rPr>
                <w:lang w:val="uk-UA"/>
              </w:rPr>
              <w:t xml:space="preserve">Відсутні. Виконання вимог </w:t>
            </w:r>
            <w:r>
              <w:rPr>
                <w:lang w:val="uk-UA"/>
              </w:rPr>
              <w:t>наказу</w:t>
            </w:r>
            <w:r w:rsidRPr="00EB2D7E">
              <w:rPr>
                <w:lang w:val="uk-UA"/>
              </w:rPr>
              <w:t xml:space="preserve"> забезпечується в межах кошторисних витрат на утримання контролюючих органів</w:t>
            </w:r>
          </w:p>
        </w:tc>
      </w:tr>
      <w:tr w:rsidR="00DA122C" w:rsidRPr="00EB2D7E" w:rsidTr="00A60D5C">
        <w:trPr>
          <w:tblCellSpacing w:w="22" w:type="dxa"/>
        </w:trPr>
        <w:tc>
          <w:tcPr>
            <w:tcW w:w="941"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2</w:t>
            </w:r>
          </w:p>
        </w:tc>
        <w:tc>
          <w:tcPr>
            <w:tcW w:w="1931"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Відсутні</w:t>
            </w:r>
          </w:p>
        </w:tc>
        <w:tc>
          <w:tcPr>
            <w:tcW w:w="2036" w:type="pct"/>
            <w:tcBorders>
              <w:top w:val="outset" w:sz="6" w:space="0" w:color="auto"/>
              <w:left w:val="outset" w:sz="6" w:space="0" w:color="auto"/>
              <w:bottom w:val="outset" w:sz="6" w:space="0" w:color="auto"/>
            </w:tcBorders>
          </w:tcPr>
          <w:p w:rsidR="00DA122C" w:rsidRPr="00EB2D7E" w:rsidRDefault="00DA122C" w:rsidP="008E3EDA">
            <w:pPr>
              <w:widowControl w:val="0"/>
              <w:spacing w:before="60"/>
              <w:ind w:firstLine="295"/>
              <w:jc w:val="both"/>
              <w:rPr>
                <w:lang w:val="uk-UA"/>
              </w:rPr>
            </w:pPr>
            <w:r w:rsidRPr="00EB2D7E">
              <w:rPr>
                <w:lang w:val="uk-UA"/>
              </w:rPr>
              <w:t xml:space="preserve">Виникнення непорозумінь між контролюючими органами та </w:t>
            </w:r>
            <w:r>
              <w:rPr>
                <w:lang w:val="uk-UA"/>
              </w:rPr>
              <w:t>платниками податку в частині порівняння цін у разі здійснення платником податку контрольованих операцій на підставі форвардного або ф’ючерсного контракту</w:t>
            </w:r>
            <w:r w:rsidRPr="00EB2D7E">
              <w:rPr>
                <w:lang w:val="uk-UA"/>
              </w:rPr>
              <w:t>.</w:t>
            </w:r>
          </w:p>
          <w:p w:rsidR="00DA122C" w:rsidRPr="00EB2D7E" w:rsidRDefault="00DA122C" w:rsidP="008E3EDA">
            <w:pPr>
              <w:widowControl w:val="0"/>
              <w:spacing w:before="60"/>
              <w:ind w:firstLine="295"/>
              <w:jc w:val="both"/>
              <w:rPr>
                <w:lang w:val="uk-UA"/>
              </w:rPr>
            </w:pPr>
            <w:r w:rsidRPr="00EB2D7E">
              <w:rPr>
                <w:lang w:val="uk-UA"/>
              </w:rPr>
              <w:t>Збільшення кількості звернень та скарг на дії посадових осіб контролюючих органів та витрат робочого часу на їх розгляд</w:t>
            </w:r>
          </w:p>
        </w:tc>
      </w:tr>
    </w:tbl>
    <w:p w:rsidR="00DA122C" w:rsidRPr="00EB2D7E" w:rsidRDefault="00DA122C" w:rsidP="008E3EDA">
      <w:pPr>
        <w:pStyle w:val="NormalWeb"/>
        <w:widowControl w:val="0"/>
        <w:spacing w:before="60" w:beforeAutospacing="0" w:after="0" w:afterAutospacing="0"/>
        <w:ind w:firstLine="720"/>
        <w:jc w:val="both"/>
        <w:rPr>
          <w:sz w:val="28"/>
          <w:szCs w:val="28"/>
          <w:lang w:val="uk-UA"/>
        </w:rPr>
      </w:pPr>
      <w:r w:rsidRPr="00EB2D7E">
        <w:rPr>
          <w:sz w:val="28"/>
          <w:szCs w:val="28"/>
          <w:lang w:val="uk-UA"/>
        </w:rPr>
        <w:t xml:space="preserve">3. Проект </w:t>
      </w:r>
      <w:r>
        <w:rPr>
          <w:sz w:val="28"/>
          <w:szCs w:val="28"/>
          <w:lang w:val="uk-UA"/>
        </w:rPr>
        <w:t>наказу</w:t>
      </w:r>
      <w:r w:rsidRPr="00EB2D7E">
        <w:rPr>
          <w:sz w:val="28"/>
          <w:szCs w:val="28"/>
          <w:lang w:val="uk-UA"/>
        </w:rPr>
        <w:t xml:space="preserve"> не розповсюджується на сферу інтересів громадян</w:t>
      </w:r>
    </w:p>
    <w:p w:rsidR="00DA122C" w:rsidRPr="00EB2D7E" w:rsidRDefault="00DA122C" w:rsidP="008E3EDA">
      <w:pPr>
        <w:pStyle w:val="NormalWeb"/>
        <w:widowControl w:val="0"/>
        <w:spacing w:before="60" w:beforeAutospacing="0" w:after="0" w:afterAutospacing="0"/>
        <w:ind w:firstLine="720"/>
        <w:jc w:val="both"/>
        <w:rPr>
          <w:sz w:val="28"/>
          <w:szCs w:val="28"/>
          <w:lang w:val="uk-UA"/>
        </w:rPr>
      </w:pPr>
      <w:r w:rsidRPr="00EB2D7E">
        <w:rPr>
          <w:sz w:val="28"/>
          <w:szCs w:val="28"/>
          <w:lang w:val="uk-UA"/>
        </w:rPr>
        <w:t>4. Оцінка впливу на сферу інтересів суб’єктів господарювання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894"/>
        <w:gridCol w:w="1142"/>
        <w:gridCol w:w="1276"/>
        <w:gridCol w:w="1168"/>
        <w:gridCol w:w="1160"/>
        <w:gridCol w:w="2175"/>
      </w:tblGrid>
      <w:tr w:rsidR="00DA122C" w:rsidRPr="00EB2D7E" w:rsidTr="00BF7564">
        <w:trPr>
          <w:tblCellSpacing w:w="22" w:type="dxa"/>
        </w:trPr>
        <w:tc>
          <w:tcPr>
            <w:tcW w:w="1441"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Показник</w:t>
            </w:r>
          </w:p>
        </w:tc>
        <w:tc>
          <w:tcPr>
            <w:tcW w:w="559"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Великі</w:t>
            </w:r>
          </w:p>
        </w:tc>
        <w:tc>
          <w:tcPr>
            <w:tcW w:w="628"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Середні</w:t>
            </w:r>
          </w:p>
        </w:tc>
        <w:tc>
          <w:tcPr>
            <w:tcW w:w="573"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Малі</w:t>
            </w:r>
          </w:p>
        </w:tc>
        <w:tc>
          <w:tcPr>
            <w:tcW w:w="569"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Мікро</w:t>
            </w:r>
          </w:p>
        </w:tc>
        <w:tc>
          <w:tcPr>
            <w:tcW w:w="1075"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Разом</w:t>
            </w:r>
          </w:p>
        </w:tc>
      </w:tr>
      <w:tr w:rsidR="00DA122C" w:rsidRPr="00EB2D7E" w:rsidTr="00BF7564">
        <w:trPr>
          <w:tblCellSpacing w:w="22" w:type="dxa"/>
        </w:trPr>
        <w:tc>
          <w:tcPr>
            <w:tcW w:w="1441"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Кількість платників податків, що підпадають під дію регулювання, одиниць</w:t>
            </w:r>
          </w:p>
        </w:tc>
        <w:tc>
          <w:tcPr>
            <w:tcW w:w="559"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c>
          <w:tcPr>
            <w:tcW w:w="628"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c>
          <w:tcPr>
            <w:tcW w:w="573"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c>
          <w:tcPr>
            <w:tcW w:w="569"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c>
          <w:tcPr>
            <w:tcW w:w="1075" w:type="pct"/>
            <w:tcBorders>
              <w:top w:val="outset" w:sz="6" w:space="0" w:color="auto"/>
              <w:left w:val="outset" w:sz="6" w:space="0" w:color="auto"/>
              <w:bottom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Близько 2 тис.</w:t>
            </w:r>
          </w:p>
        </w:tc>
      </w:tr>
      <w:tr w:rsidR="00DA122C" w:rsidRPr="00EB2D7E" w:rsidTr="00BF7564">
        <w:trPr>
          <w:tblCellSpacing w:w="22" w:type="dxa"/>
        </w:trPr>
        <w:tc>
          <w:tcPr>
            <w:tcW w:w="1441"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Питома вага групи у загальній кількості, відсотків</w:t>
            </w:r>
          </w:p>
        </w:tc>
        <w:tc>
          <w:tcPr>
            <w:tcW w:w="559"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c>
          <w:tcPr>
            <w:tcW w:w="628"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c>
          <w:tcPr>
            <w:tcW w:w="573"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c>
          <w:tcPr>
            <w:tcW w:w="569"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c>
          <w:tcPr>
            <w:tcW w:w="1075" w:type="pct"/>
            <w:tcBorders>
              <w:top w:val="outset" w:sz="6" w:space="0" w:color="auto"/>
              <w:left w:val="outset" w:sz="6" w:space="0" w:color="auto"/>
              <w:bottom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Х</w:t>
            </w:r>
          </w:p>
        </w:tc>
      </w:tr>
    </w:tbl>
    <w:p w:rsidR="00DA122C" w:rsidRPr="00EB2D7E" w:rsidRDefault="00DA122C" w:rsidP="008E3EDA">
      <w:pPr>
        <w:pStyle w:val="NormalWeb"/>
        <w:widowControl w:val="0"/>
        <w:spacing w:before="60" w:beforeAutospacing="0" w:after="0" w:afterAutospacing="0"/>
        <w:jc w:val="both"/>
        <w:rPr>
          <w:sz w:val="20"/>
          <w:highlight w:val="green"/>
          <w:lang w:val="uk-UA"/>
        </w:rPr>
      </w:pPr>
      <w:r w:rsidRPr="00EB2D7E">
        <w:rPr>
          <w:sz w:val="20"/>
          <w:highlight w:val="green"/>
          <w:lang w:val="uk-UA"/>
        </w:rPr>
        <w:t xml:space="preserve"> </w:t>
      </w:r>
    </w:p>
    <w:p w:rsidR="00DA122C" w:rsidRPr="00EB2D7E" w:rsidRDefault="00DA122C" w:rsidP="008E3EDA">
      <w:pPr>
        <w:pStyle w:val="NormalWeb"/>
        <w:widowControl w:val="0"/>
        <w:spacing w:before="60" w:beforeAutospacing="0" w:after="0" w:afterAutospacing="0"/>
        <w:jc w:val="both"/>
        <w:rPr>
          <w:sz w:val="26"/>
          <w:szCs w:val="26"/>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28"/>
        <w:gridCol w:w="4114"/>
        <w:gridCol w:w="3773"/>
      </w:tblGrid>
      <w:tr w:rsidR="00DA122C" w:rsidRPr="00EB2D7E" w:rsidTr="008E3EDA">
        <w:trPr>
          <w:tblCellSpacing w:w="22" w:type="dxa"/>
        </w:trPr>
        <w:tc>
          <w:tcPr>
            <w:tcW w:w="949"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Вид альтернативи</w:t>
            </w:r>
          </w:p>
        </w:tc>
        <w:tc>
          <w:tcPr>
            <w:tcW w:w="2073"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Вигоди</w:t>
            </w:r>
          </w:p>
        </w:tc>
        <w:tc>
          <w:tcPr>
            <w:tcW w:w="1889"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Витрати</w:t>
            </w:r>
          </w:p>
        </w:tc>
      </w:tr>
      <w:tr w:rsidR="00DA122C" w:rsidRPr="00EB2D7E" w:rsidTr="008E3EDA">
        <w:trPr>
          <w:tblCellSpacing w:w="22" w:type="dxa"/>
        </w:trPr>
        <w:tc>
          <w:tcPr>
            <w:tcW w:w="949"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1</w:t>
            </w:r>
          </w:p>
        </w:tc>
        <w:tc>
          <w:tcPr>
            <w:tcW w:w="2073" w:type="pct"/>
            <w:tcBorders>
              <w:top w:val="outset" w:sz="6" w:space="0" w:color="auto"/>
              <w:left w:val="outset" w:sz="6" w:space="0" w:color="auto"/>
              <w:bottom w:val="outset" w:sz="6" w:space="0" w:color="auto"/>
              <w:right w:val="outset" w:sz="6" w:space="0" w:color="auto"/>
            </w:tcBorders>
          </w:tcPr>
          <w:p w:rsidR="00DA122C" w:rsidRPr="00EB2D7E" w:rsidRDefault="00DA122C" w:rsidP="008E3EDA">
            <w:pPr>
              <w:widowControl w:val="0"/>
              <w:spacing w:before="60"/>
              <w:ind w:firstLine="193"/>
              <w:jc w:val="both"/>
              <w:rPr>
                <w:lang w:val="uk-UA"/>
              </w:rPr>
            </w:pPr>
            <w:r w:rsidRPr="00EB2D7E">
              <w:rPr>
                <w:lang w:val="uk-UA"/>
              </w:rPr>
              <w:t xml:space="preserve">1) Виключення можливості неправильного застосування чинного законодавства </w:t>
            </w:r>
            <w:r>
              <w:rPr>
                <w:lang w:val="uk-UA"/>
              </w:rPr>
              <w:t>в частині порівняння цін у разі здійснення платником податку контрольованих операцій на підставі форвардного або ф’ючерсного контракту</w:t>
            </w:r>
            <w:r w:rsidRPr="00EB2D7E">
              <w:rPr>
                <w:lang w:val="uk-UA"/>
              </w:rPr>
              <w:t>.</w:t>
            </w:r>
          </w:p>
          <w:p w:rsidR="00DA122C" w:rsidRPr="00EB2D7E" w:rsidRDefault="00DA122C" w:rsidP="008E3EDA">
            <w:pPr>
              <w:widowControl w:val="0"/>
              <w:spacing w:before="60"/>
              <w:ind w:firstLine="193"/>
              <w:jc w:val="both"/>
              <w:rPr>
                <w:lang w:val="uk-UA"/>
              </w:rPr>
            </w:pPr>
            <w:r w:rsidRPr="00EB2D7E">
              <w:rPr>
                <w:lang w:val="uk-UA"/>
              </w:rPr>
              <w:t>2) Уникнення</w:t>
            </w:r>
            <w:r w:rsidRPr="00EB2D7E">
              <w:rPr>
                <w:bCs/>
                <w:lang w:val="uk-UA"/>
              </w:rPr>
              <w:t xml:space="preserve"> непорозумінь між контролюючими органами та </w:t>
            </w:r>
            <w:r>
              <w:rPr>
                <w:lang w:val="uk-UA"/>
              </w:rPr>
              <w:t>платниками податку в частині порівняння цін у разі здійснення платником податку контрольованих операцій на підставі форвардного або ф’ючерсного контракту</w:t>
            </w:r>
          </w:p>
          <w:p w:rsidR="00DA122C" w:rsidRPr="00EB2D7E" w:rsidRDefault="00DA122C" w:rsidP="008E3EDA">
            <w:pPr>
              <w:widowControl w:val="0"/>
              <w:spacing w:before="60"/>
              <w:ind w:firstLine="193"/>
              <w:jc w:val="both"/>
              <w:rPr>
                <w:highlight w:val="yellow"/>
                <w:lang w:val="uk-UA"/>
              </w:rPr>
            </w:pPr>
          </w:p>
        </w:tc>
        <w:tc>
          <w:tcPr>
            <w:tcW w:w="1889" w:type="pct"/>
            <w:tcBorders>
              <w:top w:val="outset" w:sz="6" w:space="0" w:color="auto"/>
              <w:left w:val="outset" w:sz="6" w:space="0" w:color="auto"/>
              <w:bottom w:val="outset" w:sz="6" w:space="0" w:color="auto"/>
            </w:tcBorders>
          </w:tcPr>
          <w:p w:rsidR="00DA122C" w:rsidRPr="00EB2D7E" w:rsidRDefault="00DA122C" w:rsidP="008E3EDA">
            <w:pPr>
              <w:widowControl w:val="0"/>
              <w:spacing w:before="60"/>
              <w:ind w:firstLine="295"/>
              <w:rPr>
                <w:lang w:val="uk-UA"/>
              </w:rPr>
            </w:pPr>
            <w:r w:rsidRPr="00EB2D7E">
              <w:rPr>
                <w:lang w:val="uk-UA"/>
              </w:rPr>
              <w:t>Відсутні</w:t>
            </w:r>
          </w:p>
        </w:tc>
      </w:tr>
      <w:tr w:rsidR="00DA122C" w:rsidRPr="00EB2D7E" w:rsidTr="008E3EDA">
        <w:trPr>
          <w:tblCellSpacing w:w="22" w:type="dxa"/>
        </w:trPr>
        <w:tc>
          <w:tcPr>
            <w:tcW w:w="949"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2</w:t>
            </w:r>
          </w:p>
        </w:tc>
        <w:tc>
          <w:tcPr>
            <w:tcW w:w="2073" w:type="pct"/>
            <w:tcBorders>
              <w:top w:val="outset" w:sz="6" w:space="0" w:color="auto"/>
              <w:left w:val="outset" w:sz="6" w:space="0" w:color="auto"/>
              <w:bottom w:val="outset" w:sz="6" w:space="0" w:color="auto"/>
              <w:right w:val="outset" w:sz="6" w:space="0" w:color="auto"/>
            </w:tcBorders>
          </w:tcPr>
          <w:p w:rsidR="00DA122C" w:rsidRPr="00EB2D7E" w:rsidRDefault="00DA122C" w:rsidP="008E3EDA">
            <w:pPr>
              <w:widowControl w:val="0"/>
              <w:spacing w:before="60"/>
              <w:ind w:firstLine="193"/>
              <w:jc w:val="both"/>
              <w:rPr>
                <w:lang w:val="uk-UA"/>
              </w:rPr>
            </w:pPr>
            <w:r w:rsidRPr="00EB2D7E">
              <w:rPr>
                <w:lang w:val="uk-UA"/>
              </w:rPr>
              <w:t>Відсутні</w:t>
            </w:r>
          </w:p>
        </w:tc>
        <w:tc>
          <w:tcPr>
            <w:tcW w:w="1889"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ind w:firstLine="302"/>
              <w:jc w:val="both"/>
              <w:rPr>
                <w:szCs w:val="24"/>
                <w:lang w:val="uk-UA"/>
              </w:rPr>
            </w:pPr>
            <w:r w:rsidRPr="00E25F26">
              <w:rPr>
                <w:szCs w:val="24"/>
                <w:lang w:val="uk-UA"/>
              </w:rPr>
              <w:t xml:space="preserve">1) Виникнення </w:t>
            </w:r>
            <w:r w:rsidRPr="00E25F26">
              <w:rPr>
                <w:bCs/>
                <w:szCs w:val="24"/>
                <w:lang w:val="uk-UA"/>
              </w:rPr>
              <w:t xml:space="preserve">непорозумінь між контролюючими органами та </w:t>
            </w:r>
            <w:r w:rsidRPr="00E25F26">
              <w:rPr>
                <w:szCs w:val="24"/>
                <w:lang w:val="uk-UA"/>
              </w:rPr>
              <w:t>в частині порівняння цін у разі здійснення платником податку контрольованих операцій на підставі форвардного або ф’ючерсного контракту.</w:t>
            </w:r>
          </w:p>
          <w:p w:rsidR="00DA122C" w:rsidRPr="00E25F26" w:rsidRDefault="00DA122C" w:rsidP="008E3EDA">
            <w:pPr>
              <w:pStyle w:val="NormalWeb"/>
              <w:widowControl w:val="0"/>
              <w:spacing w:before="60" w:beforeAutospacing="0" w:after="0" w:afterAutospacing="0"/>
              <w:ind w:firstLine="302"/>
              <w:jc w:val="both"/>
              <w:rPr>
                <w:bCs/>
                <w:szCs w:val="24"/>
                <w:lang w:val="uk-UA"/>
              </w:rPr>
            </w:pPr>
            <w:r w:rsidRPr="00E25F26">
              <w:rPr>
                <w:szCs w:val="24"/>
                <w:lang w:val="uk-UA"/>
              </w:rPr>
              <w:t>2) Встановлення 10-денного терміну подання платниками податку до контролюючого органу Повідомлення про укладання форвардного або ф’ючерсного контракту</w:t>
            </w:r>
            <w:r w:rsidRPr="00E25F26">
              <w:rPr>
                <w:bCs/>
                <w:szCs w:val="24"/>
                <w:lang w:val="uk-UA"/>
              </w:rPr>
              <w:t>.</w:t>
            </w:r>
          </w:p>
          <w:p w:rsidR="00DA122C" w:rsidRPr="00E25F26" w:rsidRDefault="00DA122C" w:rsidP="008E3EDA">
            <w:pPr>
              <w:pStyle w:val="NormalWeb"/>
              <w:widowControl w:val="0"/>
              <w:spacing w:before="60" w:beforeAutospacing="0" w:after="0" w:afterAutospacing="0"/>
              <w:ind w:firstLine="302"/>
              <w:jc w:val="both"/>
              <w:rPr>
                <w:szCs w:val="24"/>
                <w:highlight w:val="yellow"/>
                <w:lang w:val="uk-UA"/>
              </w:rPr>
            </w:pPr>
            <w:r w:rsidRPr="00E25F26">
              <w:rPr>
                <w:bCs/>
                <w:szCs w:val="24"/>
                <w:lang w:val="uk-UA"/>
              </w:rPr>
              <w:t>Грошові витрати відсутні</w:t>
            </w:r>
          </w:p>
        </w:tc>
      </w:tr>
    </w:tbl>
    <w:p w:rsidR="00DA122C" w:rsidRPr="008E3EDA" w:rsidRDefault="00DA122C" w:rsidP="008E3EDA">
      <w:pPr>
        <w:pStyle w:val="NormalWeb"/>
        <w:widowControl w:val="0"/>
        <w:spacing w:before="60" w:beforeAutospacing="0" w:after="0" w:afterAutospacing="0"/>
        <w:jc w:val="both"/>
        <w:rPr>
          <w:sz w:val="28"/>
          <w:szCs w:val="28"/>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062"/>
        <w:gridCol w:w="1753"/>
      </w:tblGrid>
      <w:tr w:rsidR="00DA122C" w:rsidRPr="00EB2D7E" w:rsidTr="00801F3E">
        <w:trPr>
          <w:tblCellSpacing w:w="22" w:type="dxa"/>
        </w:trPr>
        <w:tc>
          <w:tcPr>
            <w:tcW w:w="4073"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Сумарні витрати за альтернативами</w:t>
            </w:r>
          </w:p>
        </w:tc>
        <w:tc>
          <w:tcPr>
            <w:tcW w:w="859"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Сума витрат, гривень</w:t>
            </w:r>
          </w:p>
        </w:tc>
      </w:tr>
      <w:tr w:rsidR="00DA122C" w:rsidRPr="00EB2D7E" w:rsidTr="00801F3E">
        <w:trPr>
          <w:tblCellSpacing w:w="22" w:type="dxa"/>
        </w:trPr>
        <w:tc>
          <w:tcPr>
            <w:tcW w:w="4073"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both"/>
              <w:rPr>
                <w:szCs w:val="24"/>
                <w:lang w:val="uk-UA"/>
              </w:rPr>
            </w:pPr>
            <w:r w:rsidRPr="00E25F26">
              <w:rPr>
                <w:szCs w:val="24"/>
                <w:lang w:val="uk-UA"/>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859" w:type="pct"/>
            <w:tcBorders>
              <w:top w:val="outset" w:sz="6" w:space="0" w:color="auto"/>
              <w:left w:val="outset" w:sz="6" w:space="0" w:color="auto"/>
              <w:bottom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r>
      <w:tr w:rsidR="00DA122C" w:rsidRPr="00EB2D7E" w:rsidTr="00801F3E">
        <w:trPr>
          <w:tblCellSpacing w:w="22" w:type="dxa"/>
        </w:trPr>
        <w:tc>
          <w:tcPr>
            <w:tcW w:w="4073"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both"/>
              <w:rPr>
                <w:szCs w:val="24"/>
                <w:lang w:val="uk-UA"/>
              </w:rPr>
            </w:pPr>
            <w:r w:rsidRPr="00E25F26">
              <w:rPr>
                <w:szCs w:val="24"/>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859" w:type="pct"/>
            <w:tcBorders>
              <w:top w:val="outset" w:sz="6" w:space="0" w:color="auto"/>
              <w:left w:val="outset" w:sz="6" w:space="0" w:color="auto"/>
              <w:bottom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w:t>
            </w:r>
          </w:p>
        </w:tc>
      </w:tr>
    </w:tbl>
    <w:p w:rsidR="00DA122C" w:rsidRDefault="00DA122C" w:rsidP="008E3EDA">
      <w:pPr>
        <w:pStyle w:val="Heading3"/>
        <w:widowControl w:val="0"/>
        <w:spacing w:before="60" w:beforeAutospacing="0" w:after="0" w:afterAutospacing="0"/>
        <w:jc w:val="center"/>
        <w:rPr>
          <w:sz w:val="28"/>
          <w:szCs w:val="28"/>
          <w:lang w:val="uk-UA"/>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IV. 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105"/>
        <w:gridCol w:w="2005"/>
        <w:gridCol w:w="5705"/>
      </w:tblGrid>
      <w:tr w:rsidR="00DA122C" w:rsidRPr="00EB2D7E" w:rsidTr="00FB5CF0">
        <w:trPr>
          <w:tblCellSpacing w:w="22" w:type="dxa"/>
        </w:trPr>
        <w:tc>
          <w:tcPr>
            <w:tcW w:w="1039" w:type="pct"/>
            <w:tcBorders>
              <w:top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Рейтинг результативності (досягнення цілей під час вирішення проблеми)</w:t>
            </w:r>
          </w:p>
        </w:tc>
        <w:tc>
          <w:tcPr>
            <w:tcW w:w="999"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ind w:left="-45"/>
              <w:jc w:val="center"/>
              <w:rPr>
                <w:szCs w:val="24"/>
                <w:lang w:val="uk-UA"/>
              </w:rPr>
            </w:pPr>
            <w:r w:rsidRPr="00E25F26">
              <w:rPr>
                <w:szCs w:val="24"/>
                <w:lang w:val="uk-UA"/>
              </w:rPr>
              <w:t>Бал результативності (за чотирибальною системою оцінки)</w:t>
            </w:r>
          </w:p>
        </w:tc>
        <w:tc>
          <w:tcPr>
            <w:tcW w:w="2873" w:type="pct"/>
            <w:tcBorders>
              <w:top w:val="outset" w:sz="6" w:space="0" w:color="auto"/>
              <w:left w:val="outset" w:sz="6" w:space="0" w:color="auto"/>
              <w:bottom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Коментарі щодо присвоєння відповідного бала</w:t>
            </w:r>
          </w:p>
        </w:tc>
      </w:tr>
      <w:tr w:rsidR="00DA122C" w:rsidRPr="00EB2D7E" w:rsidTr="00FB5CF0">
        <w:trPr>
          <w:tblCellSpacing w:w="22" w:type="dxa"/>
        </w:trPr>
        <w:tc>
          <w:tcPr>
            <w:tcW w:w="1039"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1</w:t>
            </w:r>
          </w:p>
        </w:tc>
        <w:tc>
          <w:tcPr>
            <w:tcW w:w="999"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4</w:t>
            </w:r>
          </w:p>
        </w:tc>
        <w:tc>
          <w:tcPr>
            <w:tcW w:w="2873"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ind w:firstLine="331"/>
              <w:jc w:val="both"/>
              <w:rPr>
                <w:szCs w:val="24"/>
                <w:lang w:val="uk-UA"/>
              </w:rPr>
            </w:pPr>
            <w:r w:rsidRPr="00E25F26">
              <w:rPr>
                <w:szCs w:val="24"/>
                <w:lang w:val="uk-UA"/>
              </w:rPr>
              <w:t>Альтернатива 1 дозволяє повністю досягнути поставлених цілей державного регулювання  без будь-яких витрат платників податку чи держави</w:t>
            </w:r>
          </w:p>
        </w:tc>
      </w:tr>
      <w:tr w:rsidR="00DA122C" w:rsidRPr="00EB2D7E" w:rsidTr="00FB5CF0">
        <w:trPr>
          <w:tblCellSpacing w:w="22" w:type="dxa"/>
        </w:trPr>
        <w:tc>
          <w:tcPr>
            <w:tcW w:w="1039"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2</w:t>
            </w:r>
          </w:p>
        </w:tc>
        <w:tc>
          <w:tcPr>
            <w:tcW w:w="999"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1</w:t>
            </w:r>
          </w:p>
        </w:tc>
        <w:tc>
          <w:tcPr>
            <w:tcW w:w="2873"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ind w:firstLine="331"/>
              <w:jc w:val="both"/>
              <w:rPr>
                <w:rFonts w:eastAsia="MS Mincho"/>
                <w:szCs w:val="24"/>
                <w:lang w:val="uk-UA"/>
              </w:rPr>
            </w:pPr>
            <w:r w:rsidRPr="00E25F26">
              <w:rPr>
                <w:rFonts w:eastAsia="MS Mincho"/>
                <w:szCs w:val="24"/>
                <w:lang w:val="uk-UA"/>
              </w:rPr>
              <w:t xml:space="preserve"> Не узгоджується із вимогами Кодексу та призведе до в</w:t>
            </w:r>
            <w:r w:rsidRPr="00E25F26">
              <w:rPr>
                <w:szCs w:val="24"/>
                <w:lang w:val="uk-UA"/>
              </w:rPr>
              <w:t>иникнення непорозумінь між контролюючими органами та платниками податку</w:t>
            </w:r>
            <w:r w:rsidRPr="00E25F26">
              <w:rPr>
                <w:rFonts w:eastAsia="MS Mincho"/>
                <w:szCs w:val="24"/>
                <w:lang w:val="uk-UA"/>
              </w:rPr>
              <w:t xml:space="preserve"> </w:t>
            </w:r>
          </w:p>
        </w:tc>
      </w:tr>
    </w:tbl>
    <w:p w:rsidR="00DA122C" w:rsidRPr="00F204D3" w:rsidRDefault="00DA122C" w:rsidP="008E3EDA">
      <w:pPr>
        <w:pStyle w:val="NormalWeb"/>
        <w:widowControl w:val="0"/>
        <w:spacing w:before="60" w:beforeAutospacing="0" w:after="0" w:afterAutospacing="0"/>
        <w:jc w:val="both"/>
        <w:rPr>
          <w:sz w:val="28"/>
          <w:szCs w:val="28"/>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63"/>
        <w:gridCol w:w="3057"/>
        <w:gridCol w:w="2614"/>
        <w:gridCol w:w="2181"/>
      </w:tblGrid>
      <w:tr w:rsidR="00DA122C" w:rsidRPr="00EB2D7E" w:rsidTr="009778CC">
        <w:trPr>
          <w:tblCellSpacing w:w="22" w:type="dxa"/>
        </w:trPr>
        <w:tc>
          <w:tcPr>
            <w:tcW w:w="966"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Рейтинг результативності</w:t>
            </w:r>
          </w:p>
        </w:tc>
        <w:tc>
          <w:tcPr>
            <w:tcW w:w="1535"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Вигоди (підсумок)</w:t>
            </w:r>
          </w:p>
        </w:tc>
        <w:tc>
          <w:tcPr>
            <w:tcW w:w="1309"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Витрати (підсумок)</w:t>
            </w:r>
          </w:p>
        </w:tc>
        <w:tc>
          <w:tcPr>
            <w:tcW w:w="1077"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Обґрунтування відповідного місця альтернативи у рейтингу</w:t>
            </w:r>
          </w:p>
        </w:tc>
      </w:tr>
      <w:tr w:rsidR="00DA122C" w:rsidRPr="00EB2D7E" w:rsidTr="009778CC">
        <w:trPr>
          <w:tblCellSpacing w:w="22" w:type="dxa"/>
        </w:trPr>
        <w:tc>
          <w:tcPr>
            <w:tcW w:w="966"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1</w:t>
            </w:r>
          </w:p>
        </w:tc>
        <w:tc>
          <w:tcPr>
            <w:tcW w:w="1535" w:type="pct"/>
            <w:tcBorders>
              <w:top w:val="outset" w:sz="6" w:space="0" w:color="auto"/>
              <w:left w:val="outset" w:sz="6" w:space="0" w:color="auto"/>
              <w:bottom w:val="outset" w:sz="6" w:space="0" w:color="auto"/>
              <w:right w:val="outset" w:sz="6" w:space="0" w:color="auto"/>
            </w:tcBorders>
          </w:tcPr>
          <w:p w:rsidR="00DA122C" w:rsidRPr="00EB2D7E" w:rsidRDefault="00DA122C" w:rsidP="00A67DBC">
            <w:pPr>
              <w:widowControl w:val="0"/>
              <w:spacing w:before="60"/>
              <w:ind w:firstLine="295"/>
              <w:jc w:val="both"/>
              <w:rPr>
                <w:lang w:val="uk-UA"/>
              </w:rPr>
            </w:pPr>
            <w:r>
              <w:rPr>
                <w:bCs/>
                <w:lang w:val="uk-UA"/>
              </w:rPr>
              <w:br/>
              <w:t xml:space="preserve">  </w:t>
            </w:r>
            <w:r>
              <w:rPr>
                <w:lang w:val="uk-UA"/>
              </w:rPr>
              <w:t>1</w:t>
            </w:r>
            <w:r w:rsidRPr="00EB2D7E">
              <w:rPr>
                <w:lang w:val="uk-UA"/>
              </w:rPr>
              <w:t>) Правильне застосування положень Кодексу щодо</w:t>
            </w:r>
            <w:r w:rsidRPr="00966E66">
              <w:rPr>
                <w:color w:val="000000"/>
                <w:sz w:val="28"/>
                <w:szCs w:val="28"/>
                <w:lang w:val="uk-UA"/>
              </w:rPr>
              <w:t xml:space="preserve"> </w:t>
            </w:r>
            <w:r w:rsidRPr="002C6FB3">
              <w:rPr>
                <w:color w:val="000000"/>
                <w:lang w:val="uk-UA"/>
              </w:rPr>
              <w:t>порівняння цін</w:t>
            </w:r>
            <w:r>
              <w:rPr>
                <w:color w:val="000000"/>
                <w:lang w:val="uk-UA"/>
              </w:rPr>
              <w:t>, які проводяться</w:t>
            </w:r>
            <w:r>
              <w:rPr>
                <w:lang w:val="uk-UA"/>
              </w:rPr>
              <w:t xml:space="preserve"> </w:t>
            </w:r>
            <w:r w:rsidRPr="002C6FB3">
              <w:rPr>
                <w:color w:val="000000"/>
                <w:lang w:val="uk-UA"/>
              </w:rPr>
              <w:t>на підставі інформації про форвардні або ф’ючерсні ціни на найближчу до дати укладення відповідного форвардного або ф’ючерсного контракту</w:t>
            </w:r>
            <w:r>
              <w:rPr>
                <w:color w:val="000000"/>
                <w:lang w:val="uk-UA"/>
              </w:rPr>
              <w:t xml:space="preserve"> та повідомлення платником податку центрального органу виконавчої влади протягом 10 робочих дні </w:t>
            </w:r>
            <w:r w:rsidRPr="002C6FB3">
              <w:rPr>
                <w:color w:val="000000"/>
                <w:lang w:val="uk-UA"/>
              </w:rPr>
              <w:t>з дня укладення відповідного форвардного або ф’ючерсного контракту</w:t>
            </w:r>
            <w:r w:rsidRPr="00EB2D7E">
              <w:rPr>
                <w:lang w:val="uk-UA"/>
              </w:rPr>
              <w:t>.</w:t>
            </w:r>
          </w:p>
          <w:p w:rsidR="00DA122C" w:rsidRDefault="00DA122C" w:rsidP="00A67DBC">
            <w:pPr>
              <w:widowControl w:val="0"/>
              <w:spacing w:before="60"/>
              <w:ind w:firstLine="193"/>
              <w:rPr>
                <w:lang w:val="uk-UA"/>
              </w:rPr>
            </w:pPr>
            <w:r>
              <w:rPr>
                <w:lang w:val="uk-UA"/>
              </w:rPr>
              <w:t>2</w:t>
            </w:r>
            <w:r w:rsidRPr="00EB2D7E">
              <w:rPr>
                <w:lang w:val="uk-UA"/>
              </w:rPr>
              <w:t xml:space="preserve">) Уникнення непорозумінь між контролюючими органами та </w:t>
            </w:r>
            <w:r>
              <w:rPr>
                <w:lang w:val="uk-UA"/>
              </w:rPr>
              <w:t>платниками податку</w:t>
            </w:r>
            <w:r w:rsidRPr="00EB2D7E">
              <w:rPr>
                <w:lang w:val="uk-UA"/>
              </w:rPr>
              <w:t xml:space="preserve"> </w:t>
            </w:r>
            <w:r w:rsidRPr="008B7CB9">
              <w:rPr>
                <w:lang w:val="uk-UA"/>
              </w:rPr>
              <w:t>при</w:t>
            </w:r>
            <w:r w:rsidRPr="00EB2D7E">
              <w:rPr>
                <w:sz w:val="27"/>
                <w:szCs w:val="27"/>
                <w:lang w:val="uk-UA"/>
              </w:rPr>
              <w:t xml:space="preserve"> </w:t>
            </w:r>
            <w:r w:rsidRPr="00EB2D7E">
              <w:rPr>
                <w:lang w:val="uk-UA"/>
              </w:rPr>
              <w:t xml:space="preserve">застосуванні положень </w:t>
            </w:r>
            <w:r w:rsidRPr="00EB2D7E">
              <w:rPr>
                <w:bCs/>
                <w:lang w:val="uk-UA"/>
              </w:rPr>
              <w:t>Кодексу</w:t>
            </w:r>
            <w:r w:rsidRPr="00EB2D7E">
              <w:rPr>
                <w:lang w:val="uk-UA"/>
              </w:rPr>
              <w:t xml:space="preserve"> в частині </w:t>
            </w:r>
            <w:r>
              <w:rPr>
                <w:lang w:val="uk-UA"/>
              </w:rPr>
              <w:t>порівняння цін у разі здійснення платником податку контрольованої операції на підставі форвардного або ф’ючерсного контракту</w:t>
            </w:r>
          </w:p>
          <w:p w:rsidR="00DA122C" w:rsidRPr="00EB2D7E" w:rsidRDefault="00DA122C" w:rsidP="00A67DBC">
            <w:pPr>
              <w:widowControl w:val="0"/>
              <w:spacing w:before="60"/>
              <w:ind w:firstLine="193"/>
              <w:jc w:val="both"/>
              <w:rPr>
                <w:lang w:val="uk-UA"/>
              </w:rPr>
            </w:pPr>
          </w:p>
        </w:tc>
        <w:tc>
          <w:tcPr>
            <w:tcW w:w="1309" w:type="pct"/>
            <w:tcBorders>
              <w:top w:val="outset" w:sz="6" w:space="0" w:color="auto"/>
              <w:left w:val="outset" w:sz="6" w:space="0" w:color="auto"/>
              <w:bottom w:val="outset" w:sz="6" w:space="0" w:color="auto"/>
              <w:right w:val="outset" w:sz="6" w:space="0" w:color="auto"/>
            </w:tcBorders>
          </w:tcPr>
          <w:p w:rsidR="00DA122C" w:rsidRPr="00EB2D7E" w:rsidRDefault="00DA122C" w:rsidP="008E3EDA">
            <w:pPr>
              <w:widowControl w:val="0"/>
              <w:spacing w:before="60"/>
              <w:ind w:firstLine="300"/>
              <w:jc w:val="both"/>
              <w:rPr>
                <w:highlight w:val="yellow"/>
                <w:lang w:val="uk-UA"/>
              </w:rPr>
            </w:pPr>
            <w:r w:rsidRPr="00EB2D7E">
              <w:rPr>
                <w:lang w:val="uk-UA"/>
              </w:rPr>
              <w:t>Відсутні</w:t>
            </w:r>
          </w:p>
        </w:tc>
        <w:tc>
          <w:tcPr>
            <w:tcW w:w="1077"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Найоптимальніша із запропонованих альтернатив, оскільки узгоджується із вимогами чинного законодавства та є вигідною як для платників податку, так і для держави</w:t>
            </w:r>
          </w:p>
        </w:tc>
      </w:tr>
      <w:tr w:rsidR="00DA122C" w:rsidRPr="00EB2D7E" w:rsidTr="009778CC">
        <w:trPr>
          <w:tblCellSpacing w:w="22" w:type="dxa"/>
        </w:trPr>
        <w:tc>
          <w:tcPr>
            <w:tcW w:w="966"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2</w:t>
            </w:r>
          </w:p>
        </w:tc>
        <w:tc>
          <w:tcPr>
            <w:tcW w:w="1535"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ind w:firstLine="220"/>
              <w:jc w:val="both"/>
              <w:rPr>
                <w:szCs w:val="24"/>
                <w:highlight w:val="yellow"/>
                <w:lang w:val="uk-UA"/>
              </w:rPr>
            </w:pPr>
            <w:r w:rsidRPr="00E25F26">
              <w:rPr>
                <w:szCs w:val="24"/>
                <w:lang w:val="uk-UA"/>
              </w:rPr>
              <w:t>Відсутні</w:t>
            </w:r>
          </w:p>
        </w:tc>
        <w:tc>
          <w:tcPr>
            <w:tcW w:w="1309" w:type="pct"/>
            <w:tcBorders>
              <w:top w:val="outset" w:sz="6" w:space="0" w:color="auto"/>
              <w:left w:val="outset" w:sz="6" w:space="0" w:color="auto"/>
              <w:bottom w:val="outset" w:sz="6" w:space="0" w:color="auto"/>
              <w:right w:val="outset" w:sz="6" w:space="0" w:color="auto"/>
            </w:tcBorders>
          </w:tcPr>
          <w:p w:rsidR="00DA122C" w:rsidRPr="00EB2D7E" w:rsidRDefault="00DA122C" w:rsidP="00A67DBC">
            <w:pPr>
              <w:widowControl w:val="0"/>
              <w:spacing w:before="60"/>
              <w:ind w:firstLine="295"/>
              <w:jc w:val="both"/>
              <w:rPr>
                <w:lang w:val="uk-UA"/>
              </w:rPr>
            </w:pPr>
            <w:r>
              <w:rPr>
                <w:lang w:val="uk-UA"/>
              </w:rPr>
              <w:t xml:space="preserve">1) </w:t>
            </w:r>
            <w:r w:rsidRPr="00EB2D7E">
              <w:rPr>
                <w:lang w:val="uk-UA"/>
              </w:rPr>
              <w:t xml:space="preserve">Виникнення непорозумінь між контролюючими органами та </w:t>
            </w:r>
            <w:r>
              <w:rPr>
                <w:lang w:val="uk-UA"/>
              </w:rPr>
              <w:t>платниками податку в частині порівняння цін у разі здійснення платником податку контрольованих операцій на підставі форвардного або ф’ючерсного контракту</w:t>
            </w:r>
            <w:r w:rsidRPr="00EB2D7E">
              <w:rPr>
                <w:lang w:val="uk-UA"/>
              </w:rPr>
              <w:t>.</w:t>
            </w:r>
          </w:p>
          <w:p w:rsidR="00DA122C" w:rsidRPr="00E25F26" w:rsidRDefault="00DA122C" w:rsidP="00A67DBC">
            <w:pPr>
              <w:pStyle w:val="NormalWeb"/>
              <w:widowControl w:val="0"/>
              <w:spacing w:before="60" w:beforeAutospacing="0" w:after="0" w:afterAutospacing="0"/>
              <w:ind w:firstLine="300"/>
              <w:rPr>
                <w:szCs w:val="24"/>
                <w:highlight w:val="yellow"/>
                <w:lang w:val="uk-UA"/>
              </w:rPr>
            </w:pPr>
            <w:r w:rsidRPr="00E25F26">
              <w:rPr>
                <w:szCs w:val="24"/>
                <w:lang w:val="uk-UA"/>
              </w:rPr>
              <w:t>2) Збільшення кількості звернень та скарг на дії посадових осіб контролюючих органів та витрат робочого часу на їх розгляд</w:t>
            </w:r>
          </w:p>
        </w:tc>
        <w:tc>
          <w:tcPr>
            <w:tcW w:w="1077" w:type="pct"/>
            <w:tcBorders>
              <w:top w:val="outset" w:sz="6" w:space="0" w:color="auto"/>
              <w:left w:val="outset" w:sz="6" w:space="0" w:color="auto"/>
              <w:bottom w:val="outset" w:sz="6" w:space="0" w:color="auto"/>
            </w:tcBorders>
          </w:tcPr>
          <w:p w:rsidR="00DA122C" w:rsidRPr="00EB2D7E" w:rsidRDefault="00DA122C" w:rsidP="00AC64CD">
            <w:pPr>
              <w:widowControl w:val="0"/>
              <w:spacing w:before="60"/>
              <w:ind w:firstLine="318"/>
              <w:rPr>
                <w:lang w:val="uk-UA"/>
              </w:rPr>
            </w:pPr>
            <w:r w:rsidRPr="00EB2D7E">
              <w:rPr>
                <w:lang w:val="uk-UA"/>
              </w:rPr>
              <w:t xml:space="preserve">Не узгоджується із вимогами чинного законодавства. Вигоди відсутні, на відміну від витрат </w:t>
            </w:r>
          </w:p>
        </w:tc>
      </w:tr>
    </w:tbl>
    <w:p w:rsidR="00DA122C" w:rsidRPr="008E3EDA" w:rsidRDefault="00DA122C" w:rsidP="008E3EDA">
      <w:pPr>
        <w:pStyle w:val="NormalWeb"/>
        <w:widowControl w:val="0"/>
        <w:spacing w:before="60" w:beforeAutospacing="0" w:after="0" w:afterAutospacing="0"/>
        <w:jc w:val="both"/>
        <w:rPr>
          <w:sz w:val="28"/>
          <w:szCs w:val="28"/>
          <w:highlight w:val="yellow"/>
          <w:lang w:val="uk-UA"/>
        </w:rPr>
      </w:pPr>
    </w:p>
    <w:tbl>
      <w:tblPr>
        <w:tblW w:w="499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130"/>
        <w:gridCol w:w="5375"/>
        <w:gridCol w:w="2308"/>
      </w:tblGrid>
      <w:tr w:rsidR="00DA122C" w:rsidRPr="00EB2D7E" w:rsidTr="002C6811">
        <w:trPr>
          <w:tblCellSpacing w:w="22" w:type="dxa"/>
        </w:trPr>
        <w:tc>
          <w:tcPr>
            <w:tcW w:w="1052" w:type="pct"/>
            <w:tcBorders>
              <w:top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Рейтинг</w:t>
            </w:r>
          </w:p>
        </w:tc>
        <w:tc>
          <w:tcPr>
            <w:tcW w:w="2716" w:type="pct"/>
            <w:tcBorders>
              <w:top w:val="outset" w:sz="6" w:space="0" w:color="auto"/>
              <w:left w:val="outset" w:sz="6" w:space="0" w:color="auto"/>
              <w:bottom w:val="outset" w:sz="6" w:space="0" w:color="auto"/>
              <w:right w:val="outset" w:sz="6" w:space="0" w:color="auto"/>
            </w:tcBorders>
            <w:vAlign w:val="center"/>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Аргументи щодо переваги обраної альтернативи / причини відмови від альтернативи</w:t>
            </w:r>
          </w:p>
        </w:tc>
        <w:tc>
          <w:tcPr>
            <w:tcW w:w="1142"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jc w:val="center"/>
              <w:rPr>
                <w:szCs w:val="24"/>
                <w:lang w:val="uk-UA"/>
              </w:rPr>
            </w:pPr>
            <w:r w:rsidRPr="00E25F26">
              <w:rPr>
                <w:szCs w:val="24"/>
                <w:lang w:val="uk-UA"/>
              </w:rPr>
              <w:t>Оцінка ризику зовнішніх чинників на дію запропонованого регуляторного акта</w:t>
            </w:r>
          </w:p>
        </w:tc>
      </w:tr>
      <w:tr w:rsidR="00DA122C" w:rsidRPr="00EB2D7E" w:rsidTr="002C6811">
        <w:trPr>
          <w:tblCellSpacing w:w="22" w:type="dxa"/>
        </w:trPr>
        <w:tc>
          <w:tcPr>
            <w:tcW w:w="1052"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1</w:t>
            </w:r>
          </w:p>
        </w:tc>
        <w:tc>
          <w:tcPr>
            <w:tcW w:w="2716"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ind w:firstLine="230"/>
              <w:jc w:val="both"/>
              <w:rPr>
                <w:szCs w:val="24"/>
                <w:lang w:val="uk-UA"/>
              </w:rPr>
            </w:pPr>
            <w:r w:rsidRPr="00E25F26">
              <w:rPr>
                <w:szCs w:val="24"/>
                <w:lang w:val="uk-UA"/>
              </w:rPr>
              <w:t>Альтернатива 1 дозволяє повністю досягнути поставлених цілей державного регулювання  без будь-яких витрат платників податку чи держави</w:t>
            </w:r>
          </w:p>
        </w:tc>
        <w:tc>
          <w:tcPr>
            <w:tcW w:w="1142"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ind w:firstLine="303"/>
              <w:rPr>
                <w:szCs w:val="24"/>
                <w:lang w:val="uk-UA"/>
              </w:rPr>
            </w:pPr>
            <w:r w:rsidRPr="00E25F26">
              <w:rPr>
                <w:szCs w:val="24"/>
                <w:lang w:val="uk-UA"/>
              </w:rPr>
              <w:t>Проект наказу є підзаконним актом, який може потребувати внесення змін у разі  змін відповідних норм Кодексу</w:t>
            </w:r>
          </w:p>
        </w:tc>
      </w:tr>
      <w:tr w:rsidR="00DA122C" w:rsidRPr="00EB2D7E" w:rsidTr="002C6811">
        <w:trPr>
          <w:tblCellSpacing w:w="22" w:type="dxa"/>
        </w:trPr>
        <w:tc>
          <w:tcPr>
            <w:tcW w:w="1052" w:type="pct"/>
            <w:tcBorders>
              <w:top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rPr>
                <w:szCs w:val="24"/>
                <w:lang w:val="uk-UA"/>
              </w:rPr>
            </w:pPr>
            <w:r w:rsidRPr="00E25F26">
              <w:rPr>
                <w:szCs w:val="24"/>
                <w:lang w:val="uk-UA"/>
              </w:rPr>
              <w:t>Альтернатива 2</w:t>
            </w:r>
          </w:p>
        </w:tc>
        <w:tc>
          <w:tcPr>
            <w:tcW w:w="2716" w:type="pct"/>
            <w:tcBorders>
              <w:top w:val="outset" w:sz="6" w:space="0" w:color="auto"/>
              <w:left w:val="outset" w:sz="6" w:space="0" w:color="auto"/>
              <w:bottom w:val="outset" w:sz="6" w:space="0" w:color="auto"/>
              <w:right w:val="outset" w:sz="6" w:space="0" w:color="auto"/>
            </w:tcBorders>
          </w:tcPr>
          <w:p w:rsidR="00DA122C" w:rsidRPr="00E25F26" w:rsidRDefault="00DA122C" w:rsidP="008E3EDA">
            <w:pPr>
              <w:pStyle w:val="NormalWeb"/>
              <w:widowControl w:val="0"/>
              <w:spacing w:before="60" w:beforeAutospacing="0" w:after="0" w:afterAutospacing="0"/>
              <w:ind w:firstLine="300"/>
              <w:jc w:val="both"/>
              <w:rPr>
                <w:szCs w:val="24"/>
                <w:lang w:val="uk-UA"/>
              </w:rPr>
            </w:pPr>
            <w:r w:rsidRPr="00E25F26">
              <w:rPr>
                <w:szCs w:val="24"/>
                <w:lang w:val="uk-UA"/>
              </w:rPr>
              <w:t>Альтернатива 2 призведе до збільшення кількості звернень та скарг на дії посадових осіб контролюючих органів та вит</w:t>
            </w:r>
            <w:r>
              <w:rPr>
                <w:szCs w:val="24"/>
                <w:lang w:val="uk-UA"/>
              </w:rPr>
              <w:t>рат робочого часу на їх розгляд</w:t>
            </w:r>
            <w:r w:rsidRPr="00E25F26">
              <w:rPr>
                <w:szCs w:val="24"/>
                <w:lang w:val="uk-UA"/>
              </w:rPr>
              <w:t xml:space="preserve"> </w:t>
            </w:r>
          </w:p>
        </w:tc>
        <w:tc>
          <w:tcPr>
            <w:tcW w:w="1142" w:type="pct"/>
            <w:tcBorders>
              <w:top w:val="outset" w:sz="6" w:space="0" w:color="auto"/>
              <w:left w:val="outset" w:sz="6" w:space="0" w:color="auto"/>
              <w:bottom w:val="outset" w:sz="6" w:space="0" w:color="auto"/>
            </w:tcBorders>
          </w:tcPr>
          <w:p w:rsidR="00DA122C" w:rsidRPr="00E25F26" w:rsidRDefault="00DA122C" w:rsidP="008E3EDA">
            <w:pPr>
              <w:pStyle w:val="NormalWeb"/>
              <w:widowControl w:val="0"/>
              <w:spacing w:before="60" w:beforeAutospacing="0" w:after="0" w:afterAutospacing="0"/>
              <w:ind w:firstLine="303"/>
              <w:rPr>
                <w:szCs w:val="24"/>
                <w:lang w:val="uk-UA"/>
              </w:rPr>
            </w:pPr>
            <w:r w:rsidRPr="00E25F26">
              <w:rPr>
                <w:szCs w:val="24"/>
                <w:lang w:val="uk-UA"/>
              </w:rPr>
              <w:t>Не</w:t>
            </w:r>
            <w:r>
              <w:rPr>
                <w:szCs w:val="24"/>
                <w:lang w:val="uk-UA"/>
              </w:rPr>
              <w:t xml:space="preserve">видання </w:t>
            </w:r>
            <w:r w:rsidRPr="00E25F26">
              <w:rPr>
                <w:szCs w:val="24"/>
                <w:lang w:val="uk-UA"/>
              </w:rPr>
              <w:t>наказу Міністерства фінансів України «Про затвердження форми Повідомлення про укладання форвардного або ф’ючерсного контракту» призведе до виникнення законодавчої колізії</w:t>
            </w:r>
          </w:p>
        </w:tc>
      </w:tr>
    </w:tbl>
    <w:p w:rsidR="00DA122C" w:rsidRPr="00EB2D7E" w:rsidRDefault="00DA122C" w:rsidP="008E3EDA">
      <w:pPr>
        <w:pStyle w:val="Heading3"/>
        <w:widowControl w:val="0"/>
        <w:spacing w:before="60" w:beforeAutospacing="0" w:after="0" w:afterAutospacing="0"/>
        <w:jc w:val="center"/>
        <w:rPr>
          <w:sz w:val="28"/>
          <w:szCs w:val="28"/>
          <w:highlight w:val="yellow"/>
          <w:lang w:val="uk-UA"/>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V. Механізми та заходи, які забезпечать розв’язання визначеної проблеми</w:t>
      </w:r>
    </w:p>
    <w:p w:rsidR="00DA122C" w:rsidRPr="00EB2D7E" w:rsidRDefault="00DA122C" w:rsidP="008E3EDA">
      <w:pPr>
        <w:pStyle w:val="Heading3"/>
        <w:widowControl w:val="0"/>
        <w:spacing w:before="60" w:beforeAutospacing="0" w:after="0" w:afterAutospacing="0"/>
        <w:ind w:firstLine="720"/>
        <w:jc w:val="both"/>
        <w:rPr>
          <w:b w:val="0"/>
          <w:sz w:val="28"/>
          <w:szCs w:val="28"/>
          <w:lang w:val="uk-UA"/>
        </w:rPr>
      </w:pPr>
      <w:r w:rsidRPr="00EB2D7E">
        <w:rPr>
          <w:b w:val="0"/>
          <w:sz w:val="28"/>
          <w:szCs w:val="28"/>
          <w:lang w:val="uk-UA"/>
        </w:rPr>
        <w:t xml:space="preserve">Прийняття проекту </w:t>
      </w:r>
      <w:r>
        <w:rPr>
          <w:b w:val="0"/>
          <w:sz w:val="28"/>
          <w:szCs w:val="28"/>
          <w:lang w:val="uk-UA"/>
        </w:rPr>
        <w:t>наказу</w:t>
      </w:r>
      <w:r w:rsidRPr="00EB2D7E">
        <w:rPr>
          <w:b w:val="0"/>
          <w:sz w:val="28"/>
          <w:szCs w:val="28"/>
          <w:lang w:val="uk-UA"/>
        </w:rPr>
        <w:t xml:space="preserve"> забезпечить виконання підпункту </w:t>
      </w:r>
      <w:r w:rsidRPr="006320E5">
        <w:rPr>
          <w:b w:val="0"/>
          <w:color w:val="000000"/>
          <w:sz w:val="28"/>
          <w:szCs w:val="28"/>
          <w:lang w:val="uk-UA"/>
        </w:rPr>
        <w:t xml:space="preserve">39.2.1.3 підпункту 39.2.1 пункту 39.2   та підпункту 39.3.3.3 підпункту 39.3.3 </w:t>
      </w:r>
      <w:r>
        <w:rPr>
          <w:b w:val="0"/>
          <w:color w:val="000000"/>
          <w:sz w:val="28"/>
          <w:szCs w:val="28"/>
          <w:lang w:val="uk-UA"/>
        </w:rPr>
        <w:t xml:space="preserve">           </w:t>
      </w:r>
      <w:r w:rsidRPr="006320E5">
        <w:rPr>
          <w:b w:val="0"/>
          <w:color w:val="000000"/>
          <w:sz w:val="28"/>
          <w:szCs w:val="28"/>
          <w:lang w:val="uk-UA"/>
        </w:rPr>
        <w:t xml:space="preserve">пункту 39.3 статті 39 розділу </w:t>
      </w:r>
      <w:r w:rsidRPr="006320E5">
        <w:rPr>
          <w:b w:val="0"/>
          <w:color w:val="000000"/>
          <w:sz w:val="28"/>
          <w:szCs w:val="28"/>
        </w:rPr>
        <w:t>I</w:t>
      </w:r>
      <w:r>
        <w:rPr>
          <w:b w:val="0"/>
          <w:sz w:val="28"/>
          <w:szCs w:val="28"/>
          <w:lang w:val="uk-UA"/>
        </w:rPr>
        <w:t xml:space="preserve"> Кодексу та</w:t>
      </w:r>
      <w:r w:rsidRPr="00EB2D7E">
        <w:rPr>
          <w:b w:val="0"/>
          <w:sz w:val="28"/>
          <w:szCs w:val="28"/>
          <w:lang w:val="uk-UA"/>
        </w:rPr>
        <w:t xml:space="preserve"> дасть змогу привести їх у відповідність </w:t>
      </w:r>
      <w:r>
        <w:rPr>
          <w:b w:val="0"/>
          <w:sz w:val="28"/>
          <w:szCs w:val="28"/>
          <w:lang w:val="uk-UA"/>
        </w:rPr>
        <w:t>до</w:t>
      </w:r>
      <w:r w:rsidRPr="00EB2D7E">
        <w:rPr>
          <w:b w:val="0"/>
          <w:sz w:val="28"/>
          <w:szCs w:val="28"/>
          <w:lang w:val="uk-UA"/>
        </w:rPr>
        <w:t xml:space="preserve"> чинн</w:t>
      </w:r>
      <w:r>
        <w:rPr>
          <w:b w:val="0"/>
          <w:sz w:val="28"/>
          <w:szCs w:val="28"/>
          <w:lang w:val="uk-UA"/>
        </w:rPr>
        <w:t>ого</w:t>
      </w:r>
      <w:r w:rsidRPr="00EB2D7E">
        <w:rPr>
          <w:b w:val="0"/>
          <w:sz w:val="28"/>
          <w:szCs w:val="28"/>
          <w:lang w:val="uk-UA"/>
        </w:rPr>
        <w:t xml:space="preserve"> законодавств</w:t>
      </w:r>
      <w:r>
        <w:rPr>
          <w:b w:val="0"/>
          <w:sz w:val="28"/>
          <w:szCs w:val="28"/>
          <w:lang w:val="uk-UA"/>
        </w:rPr>
        <w:t>а</w:t>
      </w:r>
      <w:r w:rsidRPr="00EB2D7E">
        <w:rPr>
          <w:b w:val="0"/>
          <w:sz w:val="28"/>
          <w:szCs w:val="28"/>
          <w:lang w:val="uk-UA"/>
        </w:rPr>
        <w:t xml:space="preserve">, що забезпечить правильне застосування чинного податкового законодавства з питань </w:t>
      </w:r>
      <w:r>
        <w:rPr>
          <w:rFonts w:eastAsia="MS Mincho"/>
          <w:b w:val="0"/>
          <w:color w:val="000000"/>
          <w:sz w:val="28"/>
          <w:szCs w:val="28"/>
          <w:lang w:val="uk-UA"/>
        </w:rPr>
        <w:t>трансфертного ціноутворення</w:t>
      </w:r>
      <w:r w:rsidRPr="00EB2D7E">
        <w:rPr>
          <w:b w:val="0"/>
          <w:sz w:val="28"/>
          <w:szCs w:val="28"/>
          <w:lang w:val="uk-UA"/>
        </w:rPr>
        <w:t>.</w:t>
      </w:r>
    </w:p>
    <w:p w:rsidR="00DA122C" w:rsidRPr="00EB2D7E" w:rsidRDefault="00DA122C" w:rsidP="008E3EDA">
      <w:pPr>
        <w:pStyle w:val="Heading3"/>
        <w:widowControl w:val="0"/>
        <w:spacing w:before="60" w:beforeAutospacing="0" w:after="0" w:afterAutospacing="0"/>
        <w:ind w:firstLine="720"/>
        <w:jc w:val="both"/>
        <w:rPr>
          <w:b w:val="0"/>
          <w:sz w:val="28"/>
          <w:szCs w:val="28"/>
          <w:lang w:val="uk-UA"/>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DA122C" w:rsidRDefault="00DA122C" w:rsidP="008E3EDA">
      <w:pPr>
        <w:pStyle w:val="Heading3"/>
        <w:widowControl w:val="0"/>
        <w:spacing w:before="60" w:beforeAutospacing="0" w:after="0" w:afterAutospacing="0"/>
        <w:ind w:firstLine="720"/>
        <w:jc w:val="both"/>
        <w:rPr>
          <w:b w:val="0"/>
          <w:sz w:val="28"/>
          <w:szCs w:val="28"/>
          <w:lang w:val="uk-UA"/>
        </w:rPr>
      </w:pPr>
      <w:r w:rsidRPr="00EB2D7E">
        <w:rPr>
          <w:b w:val="0"/>
          <w:sz w:val="28"/>
          <w:szCs w:val="28"/>
          <w:lang w:val="uk-UA"/>
        </w:rPr>
        <w:t xml:space="preserve">Реалізація проекту наказу не передбачає фінансових витрат </w:t>
      </w:r>
      <w:r>
        <w:rPr>
          <w:b w:val="0"/>
          <w:sz w:val="28"/>
          <w:szCs w:val="28"/>
          <w:lang w:val="uk-UA"/>
        </w:rPr>
        <w:t>платників податку</w:t>
      </w:r>
      <w:r w:rsidRPr="00EB2D7E">
        <w:rPr>
          <w:b w:val="0"/>
          <w:sz w:val="28"/>
          <w:szCs w:val="28"/>
          <w:lang w:val="uk-UA"/>
        </w:rPr>
        <w:t xml:space="preserve"> та держави.</w:t>
      </w:r>
    </w:p>
    <w:p w:rsidR="00DA122C" w:rsidRPr="00EB2D7E" w:rsidRDefault="00DA122C" w:rsidP="008E3EDA">
      <w:pPr>
        <w:pStyle w:val="Heading3"/>
        <w:widowControl w:val="0"/>
        <w:spacing w:before="60" w:beforeAutospacing="0" w:after="0" w:afterAutospacing="0"/>
        <w:ind w:firstLine="720"/>
        <w:jc w:val="both"/>
        <w:rPr>
          <w:b w:val="0"/>
          <w:sz w:val="28"/>
          <w:szCs w:val="28"/>
          <w:lang w:val="uk-UA"/>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VII. Обґрунтування запропонованого строку дії регуляторного акта</w:t>
      </w:r>
    </w:p>
    <w:p w:rsidR="00DA122C" w:rsidRDefault="00DA122C" w:rsidP="008E3EDA">
      <w:pPr>
        <w:pStyle w:val="NormalWeb"/>
        <w:widowControl w:val="0"/>
        <w:spacing w:before="60" w:beforeAutospacing="0" w:after="0" w:afterAutospacing="0"/>
        <w:ind w:firstLine="720"/>
        <w:jc w:val="both"/>
        <w:rPr>
          <w:sz w:val="28"/>
          <w:szCs w:val="28"/>
          <w:lang w:val="uk-UA"/>
        </w:rPr>
      </w:pPr>
      <w:r w:rsidRPr="00EB2D7E">
        <w:rPr>
          <w:sz w:val="28"/>
          <w:szCs w:val="28"/>
          <w:lang w:val="uk-UA"/>
        </w:rPr>
        <w:t>Термін дії є необмеженим, оскільки Кодекс, на виконання вимог якого розроблено проект</w:t>
      </w:r>
      <w:r>
        <w:rPr>
          <w:sz w:val="28"/>
          <w:szCs w:val="28"/>
          <w:lang w:val="uk-UA"/>
        </w:rPr>
        <w:t xml:space="preserve"> наказу</w:t>
      </w:r>
      <w:r w:rsidRPr="00EB2D7E">
        <w:rPr>
          <w:sz w:val="28"/>
          <w:szCs w:val="28"/>
          <w:lang w:val="uk-UA"/>
        </w:rPr>
        <w:t>, має необмежений термін дії.</w:t>
      </w:r>
    </w:p>
    <w:p w:rsidR="00DA122C" w:rsidRPr="00EB2D7E" w:rsidRDefault="00DA122C" w:rsidP="008E3EDA">
      <w:pPr>
        <w:pStyle w:val="NormalWeb"/>
        <w:widowControl w:val="0"/>
        <w:spacing w:before="60" w:beforeAutospacing="0" w:after="0" w:afterAutospacing="0"/>
        <w:ind w:firstLine="720"/>
        <w:jc w:val="both"/>
        <w:rPr>
          <w:sz w:val="28"/>
          <w:szCs w:val="28"/>
          <w:lang w:val="uk-UA"/>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VIII. Визначення показників результативності дії регуляторного акта</w:t>
      </w:r>
    </w:p>
    <w:p w:rsidR="00DA122C" w:rsidRPr="00EB2D7E" w:rsidRDefault="00DA122C" w:rsidP="008E3EDA">
      <w:pPr>
        <w:widowControl w:val="0"/>
        <w:spacing w:before="60"/>
        <w:ind w:firstLine="720"/>
        <w:jc w:val="both"/>
        <w:rPr>
          <w:color w:val="000000"/>
          <w:sz w:val="28"/>
          <w:szCs w:val="28"/>
          <w:lang w:val="uk-UA"/>
        </w:rPr>
      </w:pPr>
      <w:r w:rsidRPr="00EB2D7E">
        <w:rPr>
          <w:sz w:val="28"/>
          <w:szCs w:val="28"/>
          <w:lang w:val="uk-UA"/>
        </w:rPr>
        <w:t xml:space="preserve">Дія регуляторного акта поширюється на </w:t>
      </w:r>
      <w:r>
        <w:rPr>
          <w:color w:val="000000"/>
          <w:sz w:val="28"/>
          <w:szCs w:val="28"/>
          <w:lang w:val="uk-UA"/>
        </w:rPr>
        <w:t>платників податку</w:t>
      </w:r>
      <w:r w:rsidRPr="0056546B">
        <w:rPr>
          <w:lang w:val="uk-UA"/>
        </w:rPr>
        <w:t xml:space="preserve"> </w:t>
      </w:r>
      <w:r w:rsidRPr="0056546B">
        <w:rPr>
          <w:sz w:val="28"/>
          <w:szCs w:val="28"/>
          <w:lang w:val="uk-UA"/>
        </w:rPr>
        <w:t xml:space="preserve">в частині порівняння цін у разі здійснення </w:t>
      </w:r>
      <w:r>
        <w:rPr>
          <w:sz w:val="28"/>
          <w:szCs w:val="28"/>
          <w:lang w:val="uk-UA"/>
        </w:rPr>
        <w:t>ними</w:t>
      </w:r>
      <w:r w:rsidRPr="0056546B">
        <w:rPr>
          <w:sz w:val="28"/>
          <w:szCs w:val="28"/>
          <w:lang w:val="uk-UA"/>
        </w:rPr>
        <w:t xml:space="preserve"> контрольованої операції на підставі форвардного або ф’ючерсного контракту</w:t>
      </w:r>
      <w:r w:rsidRPr="00EB2D7E">
        <w:rPr>
          <w:color w:val="000000"/>
          <w:sz w:val="28"/>
          <w:szCs w:val="28"/>
          <w:lang w:val="uk-UA"/>
        </w:rPr>
        <w:t xml:space="preserve">, які відповідають вимогам </w:t>
      </w:r>
      <w:r w:rsidRPr="00467902">
        <w:rPr>
          <w:sz w:val="28"/>
          <w:szCs w:val="28"/>
          <w:lang w:val="uk-UA"/>
        </w:rPr>
        <w:t>підпункту</w:t>
      </w:r>
      <w:r w:rsidRPr="00467902">
        <w:rPr>
          <w:color w:val="000000"/>
          <w:sz w:val="28"/>
          <w:szCs w:val="28"/>
          <w:lang w:val="uk-UA"/>
        </w:rPr>
        <w:t xml:space="preserve"> </w:t>
      </w:r>
      <w:r w:rsidRPr="0056546B">
        <w:rPr>
          <w:color w:val="000000"/>
          <w:sz w:val="28"/>
          <w:szCs w:val="28"/>
          <w:lang w:val="uk-UA"/>
        </w:rPr>
        <w:t xml:space="preserve">39.2.1.3 підпункту 39.2.1 пункту 39.2   та підпункту 39.3.3.3 підпункту 39.3.3 пункту 39.3 статті 39 розділу </w:t>
      </w:r>
      <w:r w:rsidRPr="0056546B">
        <w:rPr>
          <w:color w:val="000000"/>
          <w:sz w:val="28"/>
          <w:szCs w:val="28"/>
        </w:rPr>
        <w:t>I</w:t>
      </w:r>
      <w:r w:rsidRPr="00EB2D7E">
        <w:rPr>
          <w:color w:val="000000"/>
          <w:sz w:val="28"/>
          <w:szCs w:val="28"/>
          <w:lang w:val="uk-UA"/>
        </w:rPr>
        <w:t xml:space="preserve"> Кодексу. Станом на 01.01.2017 кількість таких організацій становить близько 250 тис</w:t>
      </w:r>
      <w:r>
        <w:rPr>
          <w:color w:val="000000"/>
          <w:sz w:val="28"/>
          <w:szCs w:val="28"/>
          <w:lang w:val="uk-UA"/>
        </w:rPr>
        <w:t>яч</w:t>
      </w:r>
      <w:r w:rsidRPr="00EB2D7E">
        <w:rPr>
          <w:color w:val="000000"/>
          <w:sz w:val="28"/>
          <w:szCs w:val="28"/>
          <w:lang w:val="uk-UA"/>
        </w:rPr>
        <w:t>.</w:t>
      </w:r>
    </w:p>
    <w:p w:rsidR="00DA122C" w:rsidRPr="00EB2D7E" w:rsidRDefault="00DA122C" w:rsidP="008E3EDA">
      <w:pPr>
        <w:widowControl w:val="0"/>
        <w:spacing w:before="60"/>
        <w:ind w:firstLine="720"/>
        <w:jc w:val="both"/>
        <w:rPr>
          <w:sz w:val="28"/>
          <w:szCs w:val="28"/>
          <w:lang w:val="uk-UA"/>
        </w:rPr>
      </w:pPr>
      <w:r w:rsidRPr="00EB2D7E">
        <w:rPr>
          <w:color w:val="000000"/>
          <w:sz w:val="28"/>
          <w:szCs w:val="28"/>
          <w:lang w:val="uk-UA"/>
        </w:rPr>
        <w:t xml:space="preserve">Прийняття проекту </w:t>
      </w:r>
      <w:r>
        <w:rPr>
          <w:color w:val="000000"/>
          <w:sz w:val="28"/>
          <w:szCs w:val="28"/>
          <w:lang w:val="uk-UA"/>
        </w:rPr>
        <w:t>наказу</w:t>
      </w:r>
      <w:r w:rsidRPr="00EB2D7E">
        <w:rPr>
          <w:color w:val="000000"/>
          <w:sz w:val="28"/>
          <w:szCs w:val="28"/>
          <w:lang w:val="uk-UA"/>
        </w:rPr>
        <w:t xml:space="preserve"> не матиме впливу на розмір надходжень до бюджету. </w:t>
      </w:r>
    </w:p>
    <w:p w:rsidR="00DA122C" w:rsidRPr="00EB2D7E" w:rsidRDefault="00DA122C" w:rsidP="008E3EDA">
      <w:pPr>
        <w:widowControl w:val="0"/>
        <w:spacing w:before="60"/>
        <w:ind w:firstLine="720"/>
        <w:jc w:val="both"/>
        <w:rPr>
          <w:bCs/>
          <w:sz w:val="28"/>
          <w:szCs w:val="28"/>
          <w:lang w:val="uk-UA"/>
        </w:rPr>
      </w:pPr>
      <w:r w:rsidRPr="00EB2D7E">
        <w:rPr>
          <w:bCs/>
          <w:sz w:val="28"/>
          <w:szCs w:val="28"/>
          <w:lang w:val="uk-UA"/>
        </w:rPr>
        <w:t>Виконання вимог акт</w:t>
      </w:r>
      <w:r>
        <w:rPr>
          <w:bCs/>
          <w:sz w:val="28"/>
          <w:szCs w:val="28"/>
          <w:lang w:val="uk-UA"/>
        </w:rPr>
        <w:t>а</w:t>
      </w:r>
      <w:r w:rsidRPr="00EB2D7E">
        <w:rPr>
          <w:bCs/>
          <w:sz w:val="28"/>
          <w:szCs w:val="28"/>
          <w:lang w:val="uk-UA"/>
        </w:rPr>
        <w:t xml:space="preserve"> не потребуватиме  додаткових витрат коштів і часу </w:t>
      </w:r>
      <w:r>
        <w:rPr>
          <w:bCs/>
          <w:sz w:val="28"/>
          <w:szCs w:val="28"/>
          <w:lang w:val="uk-UA"/>
        </w:rPr>
        <w:t>платників податку</w:t>
      </w:r>
      <w:r w:rsidRPr="00EB2D7E">
        <w:rPr>
          <w:bCs/>
          <w:sz w:val="28"/>
          <w:szCs w:val="28"/>
          <w:lang w:val="uk-UA"/>
        </w:rPr>
        <w:t xml:space="preserve">. </w:t>
      </w:r>
    </w:p>
    <w:p w:rsidR="00DA122C" w:rsidRPr="00EB2D7E" w:rsidRDefault="00DA122C" w:rsidP="008E3EDA">
      <w:pPr>
        <w:widowControl w:val="0"/>
        <w:spacing w:before="60"/>
        <w:ind w:firstLine="720"/>
        <w:jc w:val="both"/>
        <w:rPr>
          <w:bCs/>
          <w:sz w:val="28"/>
          <w:szCs w:val="28"/>
          <w:lang w:val="uk-UA"/>
        </w:rPr>
      </w:pPr>
      <w:r w:rsidRPr="00EB2D7E">
        <w:rPr>
          <w:bCs/>
          <w:sz w:val="28"/>
          <w:szCs w:val="28"/>
          <w:lang w:val="uk-UA"/>
        </w:rPr>
        <w:t xml:space="preserve">З метою забезпечення високого рівня поінформованості </w:t>
      </w:r>
      <w:r>
        <w:rPr>
          <w:bCs/>
          <w:sz w:val="28"/>
          <w:szCs w:val="28"/>
          <w:lang w:val="uk-UA"/>
        </w:rPr>
        <w:t>платників податку</w:t>
      </w:r>
      <w:r w:rsidRPr="00EB2D7E">
        <w:rPr>
          <w:bCs/>
          <w:sz w:val="28"/>
          <w:szCs w:val="28"/>
          <w:lang w:val="uk-UA"/>
        </w:rPr>
        <w:t xml:space="preserve"> щодо основних положень цього акта ДФС забезпечується оприлюднення його проекту у встановленому законом порядку</w:t>
      </w:r>
      <w:r>
        <w:rPr>
          <w:bCs/>
          <w:sz w:val="28"/>
          <w:szCs w:val="28"/>
          <w:lang w:val="uk-UA"/>
        </w:rPr>
        <w:t>, зокрема, на офіційному веб-порталі ДФС (</w:t>
      </w:r>
      <w:r w:rsidRPr="008146D1">
        <w:rPr>
          <w:bCs/>
          <w:sz w:val="28"/>
          <w:szCs w:val="28"/>
          <w:lang w:val="uk-UA"/>
        </w:rPr>
        <w:t>sfs.gov.ua</w:t>
      </w:r>
      <w:r>
        <w:rPr>
          <w:bCs/>
          <w:sz w:val="28"/>
          <w:szCs w:val="28"/>
          <w:lang w:val="uk-UA"/>
        </w:rPr>
        <w:t>)</w:t>
      </w:r>
      <w:r w:rsidRPr="00EB2D7E">
        <w:rPr>
          <w:bCs/>
          <w:sz w:val="28"/>
          <w:szCs w:val="28"/>
          <w:lang w:val="uk-UA"/>
        </w:rPr>
        <w:t>, а також доведення до відома підпорядкованих територіальних органів та платників після його прийняття.</w:t>
      </w:r>
    </w:p>
    <w:p w:rsidR="00DA122C" w:rsidRDefault="00DA122C" w:rsidP="0056546B">
      <w:pPr>
        <w:widowControl w:val="0"/>
        <w:spacing w:before="60"/>
        <w:ind w:firstLine="720"/>
        <w:jc w:val="both"/>
        <w:rPr>
          <w:sz w:val="28"/>
          <w:szCs w:val="28"/>
          <w:lang w:val="uk-UA"/>
        </w:rPr>
      </w:pPr>
      <w:r w:rsidRPr="0056546B">
        <w:rPr>
          <w:sz w:val="28"/>
          <w:szCs w:val="28"/>
          <w:lang w:val="uk-UA"/>
        </w:rPr>
        <w:t xml:space="preserve">Результативність акта характеризуватиметься ефективним застосуванням платниками податку та контролюючими органами норм чинного податкового законодавства </w:t>
      </w:r>
      <w:r>
        <w:rPr>
          <w:sz w:val="28"/>
          <w:szCs w:val="28"/>
          <w:lang w:val="uk-UA"/>
        </w:rPr>
        <w:t xml:space="preserve">при порівнянні цін у разі здійснення платниками податку контрольованої операції на підставі </w:t>
      </w:r>
      <w:r w:rsidRPr="0056546B">
        <w:rPr>
          <w:color w:val="000000"/>
          <w:sz w:val="28"/>
          <w:szCs w:val="28"/>
          <w:lang w:val="uk-UA"/>
        </w:rPr>
        <w:t>форвардного або ф’ючерсного контракту</w:t>
      </w:r>
      <w:r>
        <w:rPr>
          <w:color w:val="000000"/>
          <w:sz w:val="28"/>
          <w:szCs w:val="28"/>
          <w:lang w:val="uk-UA"/>
        </w:rPr>
        <w:t>.</w:t>
      </w:r>
      <w:r w:rsidRPr="0056546B">
        <w:rPr>
          <w:sz w:val="28"/>
          <w:szCs w:val="28"/>
          <w:lang w:val="uk-UA"/>
        </w:rPr>
        <w:t xml:space="preserve"> </w:t>
      </w:r>
    </w:p>
    <w:p w:rsidR="00DA122C" w:rsidRDefault="00DA122C" w:rsidP="0056546B">
      <w:pPr>
        <w:widowControl w:val="0"/>
        <w:spacing w:before="60"/>
        <w:ind w:firstLine="720"/>
        <w:jc w:val="both"/>
        <w:rPr>
          <w:sz w:val="28"/>
          <w:szCs w:val="28"/>
          <w:lang w:val="uk-UA"/>
        </w:rPr>
      </w:pPr>
    </w:p>
    <w:p w:rsidR="00DA122C" w:rsidRDefault="00DA122C" w:rsidP="0056546B">
      <w:pPr>
        <w:widowControl w:val="0"/>
        <w:spacing w:before="60"/>
        <w:ind w:firstLine="720"/>
        <w:jc w:val="both"/>
        <w:rPr>
          <w:sz w:val="28"/>
          <w:szCs w:val="28"/>
          <w:lang w:val="uk-UA"/>
        </w:rPr>
      </w:pPr>
    </w:p>
    <w:p w:rsidR="00DA122C" w:rsidRDefault="00DA122C" w:rsidP="0056546B">
      <w:pPr>
        <w:widowControl w:val="0"/>
        <w:spacing w:before="60"/>
        <w:ind w:firstLine="720"/>
        <w:jc w:val="both"/>
        <w:rPr>
          <w:sz w:val="28"/>
          <w:szCs w:val="28"/>
          <w:lang w:val="uk-UA"/>
        </w:rPr>
      </w:pPr>
    </w:p>
    <w:p w:rsidR="00DA122C" w:rsidRPr="0056546B" w:rsidRDefault="00DA122C" w:rsidP="0056546B">
      <w:pPr>
        <w:widowControl w:val="0"/>
        <w:spacing w:before="60"/>
        <w:ind w:firstLine="720"/>
        <w:jc w:val="both"/>
        <w:rPr>
          <w:b/>
          <w:sz w:val="28"/>
          <w:szCs w:val="28"/>
          <w:highlight w:val="yellow"/>
          <w:lang w:val="uk-UA"/>
        </w:rPr>
      </w:pPr>
    </w:p>
    <w:p w:rsidR="00DA122C" w:rsidRPr="00EB2D7E" w:rsidRDefault="00DA122C" w:rsidP="008E3EDA">
      <w:pPr>
        <w:pStyle w:val="Heading3"/>
        <w:widowControl w:val="0"/>
        <w:spacing w:before="60" w:beforeAutospacing="0" w:after="0" w:afterAutospacing="0"/>
        <w:jc w:val="center"/>
        <w:rPr>
          <w:sz w:val="28"/>
          <w:szCs w:val="28"/>
          <w:lang w:val="uk-UA"/>
        </w:rPr>
      </w:pPr>
      <w:r w:rsidRPr="00EB2D7E">
        <w:rPr>
          <w:sz w:val="28"/>
          <w:szCs w:val="28"/>
          <w:lang w:val="uk-UA"/>
        </w:rPr>
        <w:t>IX. Визначення заходів, за допомогою яких здійснюватиметься відстеження результативності дії регуляторного акта</w:t>
      </w:r>
    </w:p>
    <w:p w:rsidR="00DA122C" w:rsidRPr="00EB2D7E" w:rsidRDefault="00DA122C" w:rsidP="008E3EDA">
      <w:pPr>
        <w:pStyle w:val="NormalWeb"/>
        <w:widowControl w:val="0"/>
        <w:spacing w:before="60" w:beforeAutospacing="0" w:after="0" w:afterAutospacing="0"/>
        <w:ind w:firstLine="720"/>
        <w:jc w:val="both"/>
        <w:rPr>
          <w:sz w:val="28"/>
          <w:szCs w:val="28"/>
          <w:lang w:val="uk-UA"/>
        </w:rPr>
      </w:pPr>
      <w:r w:rsidRPr="00EB2D7E">
        <w:rPr>
          <w:sz w:val="28"/>
          <w:szCs w:val="28"/>
          <w:lang w:val="uk-UA"/>
        </w:rPr>
        <w:t xml:space="preserve">Базове відстеження результативності регуляторного акта буде проводитись </w:t>
      </w:r>
      <w:r>
        <w:rPr>
          <w:sz w:val="28"/>
          <w:szCs w:val="28"/>
          <w:lang w:val="uk-UA"/>
        </w:rPr>
        <w:t>у визначений законодавством термін</w:t>
      </w:r>
      <w:r w:rsidRPr="00EB2D7E">
        <w:rPr>
          <w:sz w:val="28"/>
          <w:szCs w:val="28"/>
          <w:lang w:val="uk-UA"/>
        </w:rPr>
        <w:t xml:space="preserve"> шляхом здійснення контролю за правильністю дотримання відповідних норм Кодексу, а також моніторингу звернень як платників податків, так і контролюючих органів з питань, врегульованих </w:t>
      </w:r>
      <w:r>
        <w:rPr>
          <w:sz w:val="28"/>
          <w:szCs w:val="28"/>
          <w:lang w:val="uk-UA"/>
        </w:rPr>
        <w:t>цим актом</w:t>
      </w:r>
      <w:r w:rsidRPr="00EB2D7E">
        <w:rPr>
          <w:sz w:val="28"/>
          <w:szCs w:val="28"/>
          <w:lang w:val="uk-UA"/>
        </w:rPr>
        <w:t>.</w:t>
      </w:r>
    </w:p>
    <w:p w:rsidR="00DA122C" w:rsidRDefault="00DA122C" w:rsidP="008E3EDA">
      <w:pPr>
        <w:pStyle w:val="NormalWeb"/>
        <w:widowControl w:val="0"/>
        <w:spacing w:before="60" w:beforeAutospacing="0" w:after="0" w:afterAutospacing="0"/>
        <w:ind w:firstLine="720"/>
        <w:jc w:val="both"/>
        <w:rPr>
          <w:sz w:val="28"/>
          <w:szCs w:val="28"/>
          <w:lang w:val="uk-UA"/>
        </w:rPr>
      </w:pPr>
      <w:r w:rsidRPr="00EB2D7E">
        <w:rPr>
          <w:sz w:val="28"/>
          <w:szCs w:val="28"/>
          <w:lang w:val="uk-UA"/>
        </w:rPr>
        <w:t>Повторне</w:t>
      </w:r>
      <w:r>
        <w:rPr>
          <w:sz w:val="28"/>
          <w:szCs w:val="28"/>
          <w:lang w:val="uk-UA"/>
        </w:rPr>
        <w:t xml:space="preserve"> та періодичні</w:t>
      </w:r>
      <w:r w:rsidRPr="00EB2D7E">
        <w:rPr>
          <w:sz w:val="28"/>
          <w:szCs w:val="28"/>
          <w:lang w:val="uk-UA"/>
        </w:rPr>
        <w:t xml:space="preserve"> відстеження здійснювати</w:t>
      </w:r>
      <w:r>
        <w:rPr>
          <w:sz w:val="28"/>
          <w:szCs w:val="28"/>
          <w:lang w:val="uk-UA"/>
        </w:rPr>
        <w:t xml:space="preserve">муться у законодавчо встановлені терміни </w:t>
      </w:r>
      <w:r w:rsidRPr="00EB2D7E">
        <w:rPr>
          <w:sz w:val="28"/>
          <w:szCs w:val="28"/>
          <w:lang w:val="uk-UA"/>
        </w:rPr>
        <w:t xml:space="preserve">шляхом аналізу якісних показників дії </w:t>
      </w:r>
      <w:r>
        <w:rPr>
          <w:sz w:val="28"/>
          <w:szCs w:val="28"/>
          <w:lang w:val="uk-UA"/>
        </w:rPr>
        <w:t xml:space="preserve">наказу </w:t>
      </w:r>
      <w:r w:rsidRPr="00EB2D7E">
        <w:rPr>
          <w:sz w:val="28"/>
          <w:szCs w:val="28"/>
          <w:lang w:val="uk-UA"/>
        </w:rPr>
        <w:t>та контролю за правильністю дотримання відповідних норм Кодексу.</w:t>
      </w:r>
    </w:p>
    <w:p w:rsidR="00DA122C" w:rsidRPr="00EB2D7E" w:rsidRDefault="00DA122C" w:rsidP="008E3EDA">
      <w:pPr>
        <w:widowControl w:val="0"/>
        <w:spacing w:before="60"/>
        <w:rPr>
          <w:sz w:val="28"/>
          <w:szCs w:val="28"/>
          <w:lang w:val="uk-UA"/>
        </w:rPr>
      </w:pPr>
    </w:p>
    <w:p w:rsidR="00DA122C" w:rsidRPr="00EB2D7E" w:rsidRDefault="00DA122C" w:rsidP="008E3EDA">
      <w:pPr>
        <w:widowControl w:val="0"/>
        <w:spacing w:before="60"/>
        <w:rPr>
          <w:sz w:val="28"/>
          <w:szCs w:val="28"/>
          <w:highlight w:val="yellow"/>
          <w:lang w:val="uk-UA"/>
        </w:rPr>
      </w:pPr>
    </w:p>
    <w:p w:rsidR="00DA122C" w:rsidRPr="00EB2D7E" w:rsidRDefault="00DA122C" w:rsidP="008E3EDA">
      <w:pPr>
        <w:widowControl w:val="0"/>
        <w:spacing w:before="60"/>
        <w:rPr>
          <w:sz w:val="28"/>
          <w:szCs w:val="28"/>
          <w:highlight w:val="yellow"/>
          <w:lang w:val="uk-UA"/>
        </w:rPr>
      </w:pPr>
    </w:p>
    <w:p w:rsidR="00DA122C" w:rsidRPr="00EB2D7E" w:rsidRDefault="00DA122C" w:rsidP="008E3EDA">
      <w:pPr>
        <w:widowControl w:val="0"/>
        <w:spacing w:before="60"/>
        <w:jc w:val="both"/>
        <w:rPr>
          <w:b/>
          <w:sz w:val="28"/>
          <w:szCs w:val="28"/>
          <w:lang w:val="uk-UA"/>
        </w:rPr>
      </w:pPr>
      <w:r>
        <w:rPr>
          <w:b/>
          <w:sz w:val="28"/>
          <w:szCs w:val="28"/>
          <w:lang w:val="uk-UA"/>
        </w:rPr>
        <w:t>Міністр фінансів України                                                                  О. Данилюк</w:t>
      </w:r>
    </w:p>
    <w:sectPr w:rsidR="00DA122C" w:rsidRPr="00EB2D7E" w:rsidSect="00594DDF">
      <w:headerReference w:type="even" r:id="rId6"/>
      <w:headerReference w:type="default" r:id="rId7"/>
      <w:pgSz w:w="11906" w:h="16838"/>
      <w:pgMar w:top="107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22C" w:rsidRDefault="00DA122C">
      <w:r>
        <w:separator/>
      </w:r>
    </w:p>
  </w:endnote>
  <w:endnote w:type="continuationSeparator" w:id="0">
    <w:p w:rsidR="00DA122C" w:rsidRDefault="00DA1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22C" w:rsidRDefault="00DA122C">
      <w:r>
        <w:separator/>
      </w:r>
    </w:p>
  </w:footnote>
  <w:footnote w:type="continuationSeparator" w:id="0">
    <w:p w:rsidR="00DA122C" w:rsidRDefault="00DA1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2C" w:rsidRDefault="00DA122C" w:rsidP="006D4B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122C" w:rsidRDefault="00DA12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2C" w:rsidRPr="0092799C" w:rsidRDefault="00DA122C" w:rsidP="0092799C">
    <w:pPr>
      <w:pStyle w:val="Header"/>
      <w:framePr w:wrap="around" w:vAnchor="text" w:hAnchor="margin" w:xAlign="center" w:y="1"/>
      <w:jc w:val="center"/>
      <w:rPr>
        <w:rStyle w:val="PageNumber"/>
        <w:lang w:val="uk-UA"/>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A122C" w:rsidRDefault="00DA122C" w:rsidP="0092799C">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1A4"/>
    <w:rsid w:val="000001EA"/>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6302"/>
    <w:rsid w:val="000064A1"/>
    <w:rsid w:val="000064E0"/>
    <w:rsid w:val="00006D46"/>
    <w:rsid w:val="000074EE"/>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380D"/>
    <w:rsid w:val="000140C4"/>
    <w:rsid w:val="00014AB5"/>
    <w:rsid w:val="00014C1A"/>
    <w:rsid w:val="00014CD5"/>
    <w:rsid w:val="00014E0E"/>
    <w:rsid w:val="00014EDF"/>
    <w:rsid w:val="0001504B"/>
    <w:rsid w:val="000151A3"/>
    <w:rsid w:val="000156DB"/>
    <w:rsid w:val="00015C95"/>
    <w:rsid w:val="00015E6D"/>
    <w:rsid w:val="00015F7D"/>
    <w:rsid w:val="000160BA"/>
    <w:rsid w:val="0001657D"/>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59E"/>
    <w:rsid w:val="00050845"/>
    <w:rsid w:val="00050DF5"/>
    <w:rsid w:val="00050EE9"/>
    <w:rsid w:val="00051042"/>
    <w:rsid w:val="000514B6"/>
    <w:rsid w:val="00051506"/>
    <w:rsid w:val="00051B69"/>
    <w:rsid w:val="00051DF7"/>
    <w:rsid w:val="00052951"/>
    <w:rsid w:val="00052C45"/>
    <w:rsid w:val="00052C8C"/>
    <w:rsid w:val="00052EC5"/>
    <w:rsid w:val="00052F4B"/>
    <w:rsid w:val="00052FB0"/>
    <w:rsid w:val="00052FC1"/>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DBE"/>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516D"/>
    <w:rsid w:val="00065935"/>
    <w:rsid w:val="0006597B"/>
    <w:rsid w:val="00065980"/>
    <w:rsid w:val="00065AD1"/>
    <w:rsid w:val="00065BCA"/>
    <w:rsid w:val="00065DFC"/>
    <w:rsid w:val="00066909"/>
    <w:rsid w:val="00067560"/>
    <w:rsid w:val="00067564"/>
    <w:rsid w:val="00067926"/>
    <w:rsid w:val="00067CBE"/>
    <w:rsid w:val="0007031F"/>
    <w:rsid w:val="00070547"/>
    <w:rsid w:val="00070A92"/>
    <w:rsid w:val="00070C89"/>
    <w:rsid w:val="00070DA5"/>
    <w:rsid w:val="00070E75"/>
    <w:rsid w:val="0007132D"/>
    <w:rsid w:val="000716F5"/>
    <w:rsid w:val="00071813"/>
    <w:rsid w:val="00071A19"/>
    <w:rsid w:val="000722C1"/>
    <w:rsid w:val="00072649"/>
    <w:rsid w:val="00072A23"/>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A8"/>
    <w:rsid w:val="00087269"/>
    <w:rsid w:val="00087869"/>
    <w:rsid w:val="0009052A"/>
    <w:rsid w:val="000905AB"/>
    <w:rsid w:val="00090A18"/>
    <w:rsid w:val="00090B61"/>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561"/>
    <w:rsid w:val="00096741"/>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4828"/>
    <w:rsid w:val="000A4B75"/>
    <w:rsid w:val="000A4F19"/>
    <w:rsid w:val="000A51A7"/>
    <w:rsid w:val="000A5429"/>
    <w:rsid w:val="000A5521"/>
    <w:rsid w:val="000A560C"/>
    <w:rsid w:val="000A5752"/>
    <w:rsid w:val="000A5768"/>
    <w:rsid w:val="000A57EF"/>
    <w:rsid w:val="000A59A4"/>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DF"/>
    <w:rsid w:val="000B39DE"/>
    <w:rsid w:val="000B4519"/>
    <w:rsid w:val="000B4E13"/>
    <w:rsid w:val="000B5181"/>
    <w:rsid w:val="000B57D6"/>
    <w:rsid w:val="000B5878"/>
    <w:rsid w:val="000B5965"/>
    <w:rsid w:val="000B5C23"/>
    <w:rsid w:val="000B5CF1"/>
    <w:rsid w:val="000B5D87"/>
    <w:rsid w:val="000B5D96"/>
    <w:rsid w:val="000B5E5A"/>
    <w:rsid w:val="000B62B9"/>
    <w:rsid w:val="000B65FB"/>
    <w:rsid w:val="000B66F5"/>
    <w:rsid w:val="000B6BD0"/>
    <w:rsid w:val="000B6CA8"/>
    <w:rsid w:val="000B748D"/>
    <w:rsid w:val="000B7DE8"/>
    <w:rsid w:val="000C01DC"/>
    <w:rsid w:val="000C0763"/>
    <w:rsid w:val="000C0966"/>
    <w:rsid w:val="000C0D17"/>
    <w:rsid w:val="000C0DFD"/>
    <w:rsid w:val="000C17EF"/>
    <w:rsid w:val="000C2433"/>
    <w:rsid w:val="000C28A0"/>
    <w:rsid w:val="000C2D1C"/>
    <w:rsid w:val="000C2E0D"/>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368"/>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5CC"/>
    <w:rsid w:val="000D56E6"/>
    <w:rsid w:val="000D5705"/>
    <w:rsid w:val="000D5970"/>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2361"/>
    <w:rsid w:val="000E2790"/>
    <w:rsid w:val="000E2803"/>
    <w:rsid w:val="000E2A4B"/>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C0F"/>
    <w:rsid w:val="000E7CCB"/>
    <w:rsid w:val="000F0315"/>
    <w:rsid w:val="000F04FE"/>
    <w:rsid w:val="000F0734"/>
    <w:rsid w:val="000F0757"/>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181"/>
    <w:rsid w:val="00101332"/>
    <w:rsid w:val="00101403"/>
    <w:rsid w:val="0010148B"/>
    <w:rsid w:val="00101B67"/>
    <w:rsid w:val="00101DDF"/>
    <w:rsid w:val="00102224"/>
    <w:rsid w:val="0010234C"/>
    <w:rsid w:val="00102505"/>
    <w:rsid w:val="001027BF"/>
    <w:rsid w:val="00102920"/>
    <w:rsid w:val="00102C55"/>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101B0"/>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1318"/>
    <w:rsid w:val="0012158D"/>
    <w:rsid w:val="001219FC"/>
    <w:rsid w:val="00121AEA"/>
    <w:rsid w:val="0012201A"/>
    <w:rsid w:val="001220DC"/>
    <w:rsid w:val="00122479"/>
    <w:rsid w:val="001226D3"/>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9B7"/>
    <w:rsid w:val="00133397"/>
    <w:rsid w:val="00133970"/>
    <w:rsid w:val="00133CBE"/>
    <w:rsid w:val="00133F02"/>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9BD"/>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A042F"/>
    <w:rsid w:val="001A0680"/>
    <w:rsid w:val="001A085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75C"/>
    <w:rsid w:val="001A5A8A"/>
    <w:rsid w:val="001A5F37"/>
    <w:rsid w:val="001A5F5E"/>
    <w:rsid w:val="001A622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A1B"/>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9BB"/>
    <w:rsid w:val="001E4A84"/>
    <w:rsid w:val="001E4B26"/>
    <w:rsid w:val="001E4BD0"/>
    <w:rsid w:val="001E4C18"/>
    <w:rsid w:val="001E4D89"/>
    <w:rsid w:val="001E4E3F"/>
    <w:rsid w:val="001E5373"/>
    <w:rsid w:val="001E5479"/>
    <w:rsid w:val="001E55BC"/>
    <w:rsid w:val="001E55F7"/>
    <w:rsid w:val="001E571B"/>
    <w:rsid w:val="001E58EC"/>
    <w:rsid w:val="001E5947"/>
    <w:rsid w:val="001E5B0A"/>
    <w:rsid w:val="001E5B21"/>
    <w:rsid w:val="001E5FC7"/>
    <w:rsid w:val="001E638B"/>
    <w:rsid w:val="001E6640"/>
    <w:rsid w:val="001E688F"/>
    <w:rsid w:val="001E6C07"/>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16"/>
    <w:rsid w:val="002015C2"/>
    <w:rsid w:val="00201707"/>
    <w:rsid w:val="002017D8"/>
    <w:rsid w:val="00201834"/>
    <w:rsid w:val="00201B6C"/>
    <w:rsid w:val="00201B91"/>
    <w:rsid w:val="00201FE3"/>
    <w:rsid w:val="00202234"/>
    <w:rsid w:val="0020254B"/>
    <w:rsid w:val="002026C4"/>
    <w:rsid w:val="00202776"/>
    <w:rsid w:val="0020278D"/>
    <w:rsid w:val="00202D7A"/>
    <w:rsid w:val="00202F34"/>
    <w:rsid w:val="0020330D"/>
    <w:rsid w:val="0020340A"/>
    <w:rsid w:val="00203415"/>
    <w:rsid w:val="00203673"/>
    <w:rsid w:val="00203ADE"/>
    <w:rsid w:val="00203BD4"/>
    <w:rsid w:val="00203F56"/>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A9"/>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A91"/>
    <w:rsid w:val="00221F33"/>
    <w:rsid w:val="00221F9A"/>
    <w:rsid w:val="002220D0"/>
    <w:rsid w:val="0022223A"/>
    <w:rsid w:val="002224A6"/>
    <w:rsid w:val="00222660"/>
    <w:rsid w:val="00222B1C"/>
    <w:rsid w:val="002230B8"/>
    <w:rsid w:val="00223592"/>
    <w:rsid w:val="00223897"/>
    <w:rsid w:val="00223899"/>
    <w:rsid w:val="00223CC9"/>
    <w:rsid w:val="0022409B"/>
    <w:rsid w:val="00224272"/>
    <w:rsid w:val="0022463F"/>
    <w:rsid w:val="00224A39"/>
    <w:rsid w:val="00224D60"/>
    <w:rsid w:val="00224DC4"/>
    <w:rsid w:val="0022514F"/>
    <w:rsid w:val="002253AF"/>
    <w:rsid w:val="00225535"/>
    <w:rsid w:val="002256B7"/>
    <w:rsid w:val="0022591A"/>
    <w:rsid w:val="00225940"/>
    <w:rsid w:val="00226174"/>
    <w:rsid w:val="002261B7"/>
    <w:rsid w:val="00226D9F"/>
    <w:rsid w:val="0022715F"/>
    <w:rsid w:val="002271A7"/>
    <w:rsid w:val="00227946"/>
    <w:rsid w:val="00227A2D"/>
    <w:rsid w:val="00227B9B"/>
    <w:rsid w:val="00227F49"/>
    <w:rsid w:val="002300A9"/>
    <w:rsid w:val="00230292"/>
    <w:rsid w:val="002302C0"/>
    <w:rsid w:val="00230356"/>
    <w:rsid w:val="002303DE"/>
    <w:rsid w:val="00230484"/>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B1"/>
    <w:rsid w:val="00247DCC"/>
    <w:rsid w:val="00247F48"/>
    <w:rsid w:val="00250458"/>
    <w:rsid w:val="002508E4"/>
    <w:rsid w:val="00250AC4"/>
    <w:rsid w:val="00250E3D"/>
    <w:rsid w:val="00250EE4"/>
    <w:rsid w:val="00250FBB"/>
    <w:rsid w:val="002511E1"/>
    <w:rsid w:val="0025165D"/>
    <w:rsid w:val="00251B72"/>
    <w:rsid w:val="00251EF1"/>
    <w:rsid w:val="00252212"/>
    <w:rsid w:val="002522E6"/>
    <w:rsid w:val="0025246D"/>
    <w:rsid w:val="002524D0"/>
    <w:rsid w:val="002525A7"/>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A0B"/>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B41"/>
    <w:rsid w:val="002919A7"/>
    <w:rsid w:val="00291AEE"/>
    <w:rsid w:val="00292128"/>
    <w:rsid w:val="00292403"/>
    <w:rsid w:val="0029275D"/>
    <w:rsid w:val="00292A04"/>
    <w:rsid w:val="00292E51"/>
    <w:rsid w:val="00292FCC"/>
    <w:rsid w:val="00293101"/>
    <w:rsid w:val="0029315D"/>
    <w:rsid w:val="002931FC"/>
    <w:rsid w:val="002933EB"/>
    <w:rsid w:val="002936DC"/>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2390"/>
    <w:rsid w:val="002A27AF"/>
    <w:rsid w:val="002A28E3"/>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F7F"/>
    <w:rsid w:val="002B3022"/>
    <w:rsid w:val="002B32B5"/>
    <w:rsid w:val="002B33A2"/>
    <w:rsid w:val="002B348F"/>
    <w:rsid w:val="002B34D1"/>
    <w:rsid w:val="002B35AE"/>
    <w:rsid w:val="002B3B7D"/>
    <w:rsid w:val="002B3CD8"/>
    <w:rsid w:val="002B3EC6"/>
    <w:rsid w:val="002B40D3"/>
    <w:rsid w:val="002B40F5"/>
    <w:rsid w:val="002B46C4"/>
    <w:rsid w:val="002B471C"/>
    <w:rsid w:val="002B4F92"/>
    <w:rsid w:val="002B517C"/>
    <w:rsid w:val="002B532C"/>
    <w:rsid w:val="002B6084"/>
    <w:rsid w:val="002B62DD"/>
    <w:rsid w:val="002B6424"/>
    <w:rsid w:val="002B6598"/>
    <w:rsid w:val="002B67E6"/>
    <w:rsid w:val="002B6C17"/>
    <w:rsid w:val="002B6C25"/>
    <w:rsid w:val="002B6CF4"/>
    <w:rsid w:val="002B6FC2"/>
    <w:rsid w:val="002B70DC"/>
    <w:rsid w:val="002B7CCC"/>
    <w:rsid w:val="002B7F30"/>
    <w:rsid w:val="002C01BD"/>
    <w:rsid w:val="002C02A7"/>
    <w:rsid w:val="002C0379"/>
    <w:rsid w:val="002C0773"/>
    <w:rsid w:val="002C0946"/>
    <w:rsid w:val="002C0A8E"/>
    <w:rsid w:val="002C0FFC"/>
    <w:rsid w:val="002C10EC"/>
    <w:rsid w:val="002C1137"/>
    <w:rsid w:val="002C145F"/>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861"/>
    <w:rsid w:val="002C5C2D"/>
    <w:rsid w:val="002C5CAD"/>
    <w:rsid w:val="002C5FD1"/>
    <w:rsid w:val="002C63A6"/>
    <w:rsid w:val="002C6566"/>
    <w:rsid w:val="002C676B"/>
    <w:rsid w:val="002C67BD"/>
    <w:rsid w:val="002C6811"/>
    <w:rsid w:val="002C6B50"/>
    <w:rsid w:val="002C6D0A"/>
    <w:rsid w:val="002C6FB3"/>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25DA"/>
    <w:rsid w:val="002D25E5"/>
    <w:rsid w:val="002D25FF"/>
    <w:rsid w:val="002D2620"/>
    <w:rsid w:val="002D26CC"/>
    <w:rsid w:val="002D288D"/>
    <w:rsid w:val="002D2937"/>
    <w:rsid w:val="002D2EA5"/>
    <w:rsid w:val="002D30C1"/>
    <w:rsid w:val="002D365C"/>
    <w:rsid w:val="002D369C"/>
    <w:rsid w:val="002D386F"/>
    <w:rsid w:val="002D3E56"/>
    <w:rsid w:val="002D47A9"/>
    <w:rsid w:val="002D47CC"/>
    <w:rsid w:val="002D483F"/>
    <w:rsid w:val="002D4D84"/>
    <w:rsid w:val="002D4D93"/>
    <w:rsid w:val="002D4E0B"/>
    <w:rsid w:val="002D510F"/>
    <w:rsid w:val="002D53CB"/>
    <w:rsid w:val="002D5788"/>
    <w:rsid w:val="002D5C81"/>
    <w:rsid w:val="002D5F7D"/>
    <w:rsid w:val="002D6010"/>
    <w:rsid w:val="002D609D"/>
    <w:rsid w:val="002D6F80"/>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F8"/>
    <w:rsid w:val="002F2F63"/>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F8"/>
    <w:rsid w:val="00301E0B"/>
    <w:rsid w:val="003023AA"/>
    <w:rsid w:val="00302FA1"/>
    <w:rsid w:val="00302FD2"/>
    <w:rsid w:val="003030D8"/>
    <w:rsid w:val="00303110"/>
    <w:rsid w:val="00303390"/>
    <w:rsid w:val="00303579"/>
    <w:rsid w:val="0030381A"/>
    <w:rsid w:val="00303839"/>
    <w:rsid w:val="003038C3"/>
    <w:rsid w:val="00303DF3"/>
    <w:rsid w:val="00303E11"/>
    <w:rsid w:val="00303EB8"/>
    <w:rsid w:val="003042BC"/>
    <w:rsid w:val="00304361"/>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E23"/>
    <w:rsid w:val="00313FC3"/>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A23"/>
    <w:rsid w:val="00323D12"/>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46F9"/>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3128"/>
    <w:rsid w:val="00343219"/>
    <w:rsid w:val="0034333C"/>
    <w:rsid w:val="00343826"/>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495"/>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A55"/>
    <w:rsid w:val="00370B6E"/>
    <w:rsid w:val="00370C3C"/>
    <w:rsid w:val="0037141B"/>
    <w:rsid w:val="0037172B"/>
    <w:rsid w:val="00371E5F"/>
    <w:rsid w:val="0037233B"/>
    <w:rsid w:val="003725FF"/>
    <w:rsid w:val="0037296B"/>
    <w:rsid w:val="00372ADF"/>
    <w:rsid w:val="0037301B"/>
    <w:rsid w:val="0037306E"/>
    <w:rsid w:val="0037379B"/>
    <w:rsid w:val="00373A2A"/>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279"/>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5A6"/>
    <w:rsid w:val="00391B3F"/>
    <w:rsid w:val="003921CB"/>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3E4"/>
    <w:rsid w:val="00395432"/>
    <w:rsid w:val="00395882"/>
    <w:rsid w:val="0039592D"/>
    <w:rsid w:val="003959AD"/>
    <w:rsid w:val="0039622C"/>
    <w:rsid w:val="003965E8"/>
    <w:rsid w:val="00396666"/>
    <w:rsid w:val="00396969"/>
    <w:rsid w:val="00396DC7"/>
    <w:rsid w:val="00396FCA"/>
    <w:rsid w:val="00396FD5"/>
    <w:rsid w:val="00396FD8"/>
    <w:rsid w:val="00397565"/>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6B7"/>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6C9"/>
    <w:rsid w:val="003C1E34"/>
    <w:rsid w:val="003C2855"/>
    <w:rsid w:val="003C2857"/>
    <w:rsid w:val="003C2997"/>
    <w:rsid w:val="003C2E51"/>
    <w:rsid w:val="003C3379"/>
    <w:rsid w:val="003C3851"/>
    <w:rsid w:val="003C3DFA"/>
    <w:rsid w:val="003C4366"/>
    <w:rsid w:val="003C49F7"/>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78C"/>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BC5"/>
    <w:rsid w:val="003D1CBF"/>
    <w:rsid w:val="003D1E18"/>
    <w:rsid w:val="003D1F87"/>
    <w:rsid w:val="003D263B"/>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CF"/>
    <w:rsid w:val="003F16AC"/>
    <w:rsid w:val="003F1BB1"/>
    <w:rsid w:val="003F1EC4"/>
    <w:rsid w:val="003F209E"/>
    <w:rsid w:val="003F213E"/>
    <w:rsid w:val="003F2211"/>
    <w:rsid w:val="003F284A"/>
    <w:rsid w:val="003F2995"/>
    <w:rsid w:val="003F2AA7"/>
    <w:rsid w:val="003F2DCB"/>
    <w:rsid w:val="003F2E12"/>
    <w:rsid w:val="003F2E9D"/>
    <w:rsid w:val="003F2FEA"/>
    <w:rsid w:val="003F354E"/>
    <w:rsid w:val="003F3774"/>
    <w:rsid w:val="003F37F3"/>
    <w:rsid w:val="003F3DAB"/>
    <w:rsid w:val="003F3EF6"/>
    <w:rsid w:val="003F4359"/>
    <w:rsid w:val="003F441C"/>
    <w:rsid w:val="003F4837"/>
    <w:rsid w:val="003F4A85"/>
    <w:rsid w:val="003F4AD1"/>
    <w:rsid w:val="003F4B35"/>
    <w:rsid w:val="003F4B6A"/>
    <w:rsid w:val="003F5020"/>
    <w:rsid w:val="003F5049"/>
    <w:rsid w:val="003F5704"/>
    <w:rsid w:val="003F572A"/>
    <w:rsid w:val="003F6CD6"/>
    <w:rsid w:val="003F7E76"/>
    <w:rsid w:val="004000CC"/>
    <w:rsid w:val="004002FF"/>
    <w:rsid w:val="0040096E"/>
    <w:rsid w:val="00400C6A"/>
    <w:rsid w:val="00401C05"/>
    <w:rsid w:val="004022BF"/>
    <w:rsid w:val="004023FF"/>
    <w:rsid w:val="004026E7"/>
    <w:rsid w:val="0040286C"/>
    <w:rsid w:val="00402A8B"/>
    <w:rsid w:val="00402F1E"/>
    <w:rsid w:val="00402FA1"/>
    <w:rsid w:val="0040306F"/>
    <w:rsid w:val="0040349D"/>
    <w:rsid w:val="004034DA"/>
    <w:rsid w:val="00403727"/>
    <w:rsid w:val="00403A87"/>
    <w:rsid w:val="00403BAF"/>
    <w:rsid w:val="00403F46"/>
    <w:rsid w:val="0040401C"/>
    <w:rsid w:val="0040482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44"/>
    <w:rsid w:val="00417A4E"/>
    <w:rsid w:val="00417B63"/>
    <w:rsid w:val="00420048"/>
    <w:rsid w:val="00420356"/>
    <w:rsid w:val="004204B6"/>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ED0"/>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415"/>
    <w:rsid w:val="00433561"/>
    <w:rsid w:val="00433A41"/>
    <w:rsid w:val="00433A50"/>
    <w:rsid w:val="00433CC3"/>
    <w:rsid w:val="00433FCC"/>
    <w:rsid w:val="00433FD9"/>
    <w:rsid w:val="004343A2"/>
    <w:rsid w:val="004344BE"/>
    <w:rsid w:val="004344D3"/>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CBB"/>
    <w:rsid w:val="00464DF5"/>
    <w:rsid w:val="00465185"/>
    <w:rsid w:val="0046550D"/>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02"/>
    <w:rsid w:val="004679C8"/>
    <w:rsid w:val="00467BBD"/>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44"/>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410"/>
    <w:rsid w:val="004876DC"/>
    <w:rsid w:val="004877A0"/>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EC3"/>
    <w:rsid w:val="00497F08"/>
    <w:rsid w:val="004A0094"/>
    <w:rsid w:val="004A0271"/>
    <w:rsid w:val="004A051F"/>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6CD1"/>
    <w:rsid w:val="004A74B1"/>
    <w:rsid w:val="004A796F"/>
    <w:rsid w:val="004A7BBE"/>
    <w:rsid w:val="004A7F55"/>
    <w:rsid w:val="004B069B"/>
    <w:rsid w:val="004B074B"/>
    <w:rsid w:val="004B0AF6"/>
    <w:rsid w:val="004B0F72"/>
    <w:rsid w:val="004B10E6"/>
    <w:rsid w:val="004B14F0"/>
    <w:rsid w:val="004B20D9"/>
    <w:rsid w:val="004B22D3"/>
    <w:rsid w:val="004B2859"/>
    <w:rsid w:val="004B29FE"/>
    <w:rsid w:val="004B2A82"/>
    <w:rsid w:val="004B2C8C"/>
    <w:rsid w:val="004B2DC1"/>
    <w:rsid w:val="004B3177"/>
    <w:rsid w:val="004B3429"/>
    <w:rsid w:val="004B34BF"/>
    <w:rsid w:val="004B3625"/>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C067D"/>
    <w:rsid w:val="004C06B3"/>
    <w:rsid w:val="004C0750"/>
    <w:rsid w:val="004C0E70"/>
    <w:rsid w:val="004C1062"/>
    <w:rsid w:val="004C1161"/>
    <w:rsid w:val="004C132A"/>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4FBC"/>
    <w:rsid w:val="004C5191"/>
    <w:rsid w:val="004C5474"/>
    <w:rsid w:val="004C5BB5"/>
    <w:rsid w:val="004C5C07"/>
    <w:rsid w:val="004C5CEE"/>
    <w:rsid w:val="004C5E2F"/>
    <w:rsid w:val="004C5F69"/>
    <w:rsid w:val="004C6205"/>
    <w:rsid w:val="004C66AB"/>
    <w:rsid w:val="004C6A43"/>
    <w:rsid w:val="004C6E86"/>
    <w:rsid w:val="004C6F72"/>
    <w:rsid w:val="004C7001"/>
    <w:rsid w:val="004C7DD4"/>
    <w:rsid w:val="004C7FD8"/>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69A0"/>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0F87"/>
    <w:rsid w:val="004F1198"/>
    <w:rsid w:val="004F1253"/>
    <w:rsid w:val="004F1531"/>
    <w:rsid w:val="004F1AE4"/>
    <w:rsid w:val="004F1BA7"/>
    <w:rsid w:val="004F20FA"/>
    <w:rsid w:val="004F254A"/>
    <w:rsid w:val="004F2561"/>
    <w:rsid w:val="004F2615"/>
    <w:rsid w:val="004F2ACA"/>
    <w:rsid w:val="004F2B8F"/>
    <w:rsid w:val="004F2BEF"/>
    <w:rsid w:val="004F2C82"/>
    <w:rsid w:val="004F35A2"/>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AE8"/>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40CB"/>
    <w:rsid w:val="00524178"/>
    <w:rsid w:val="00524511"/>
    <w:rsid w:val="00524604"/>
    <w:rsid w:val="0052471B"/>
    <w:rsid w:val="00524AC7"/>
    <w:rsid w:val="00524C79"/>
    <w:rsid w:val="00524CD1"/>
    <w:rsid w:val="00524F35"/>
    <w:rsid w:val="00525020"/>
    <w:rsid w:val="005250EB"/>
    <w:rsid w:val="005253A5"/>
    <w:rsid w:val="00525675"/>
    <w:rsid w:val="005257B8"/>
    <w:rsid w:val="00525947"/>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61B"/>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524"/>
    <w:rsid w:val="0055760A"/>
    <w:rsid w:val="00557DF5"/>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C26"/>
    <w:rsid w:val="00563F12"/>
    <w:rsid w:val="0056498E"/>
    <w:rsid w:val="0056513B"/>
    <w:rsid w:val="00565294"/>
    <w:rsid w:val="0056546B"/>
    <w:rsid w:val="0056594B"/>
    <w:rsid w:val="005659FF"/>
    <w:rsid w:val="00565B0E"/>
    <w:rsid w:val="00565D9C"/>
    <w:rsid w:val="00565F1B"/>
    <w:rsid w:val="00566ABF"/>
    <w:rsid w:val="00566CA3"/>
    <w:rsid w:val="00566D70"/>
    <w:rsid w:val="00567135"/>
    <w:rsid w:val="00567228"/>
    <w:rsid w:val="00567318"/>
    <w:rsid w:val="0056771C"/>
    <w:rsid w:val="005679A5"/>
    <w:rsid w:val="00567F83"/>
    <w:rsid w:val="00567FEC"/>
    <w:rsid w:val="005703E1"/>
    <w:rsid w:val="005705CD"/>
    <w:rsid w:val="0057085E"/>
    <w:rsid w:val="00570A05"/>
    <w:rsid w:val="00570AFD"/>
    <w:rsid w:val="005710F1"/>
    <w:rsid w:val="005710FD"/>
    <w:rsid w:val="005713AF"/>
    <w:rsid w:val="005715DA"/>
    <w:rsid w:val="00571A6A"/>
    <w:rsid w:val="00571B9C"/>
    <w:rsid w:val="00571CE3"/>
    <w:rsid w:val="00571CEE"/>
    <w:rsid w:val="00572134"/>
    <w:rsid w:val="005729EB"/>
    <w:rsid w:val="00572DEC"/>
    <w:rsid w:val="00572F1F"/>
    <w:rsid w:val="005733C0"/>
    <w:rsid w:val="005742E4"/>
    <w:rsid w:val="00574327"/>
    <w:rsid w:val="00574556"/>
    <w:rsid w:val="005748F8"/>
    <w:rsid w:val="00575112"/>
    <w:rsid w:val="005755F8"/>
    <w:rsid w:val="005758BA"/>
    <w:rsid w:val="00575ADF"/>
    <w:rsid w:val="00575C02"/>
    <w:rsid w:val="00575CBB"/>
    <w:rsid w:val="00575E2A"/>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D7"/>
    <w:rsid w:val="005836FE"/>
    <w:rsid w:val="005838AD"/>
    <w:rsid w:val="00583AAF"/>
    <w:rsid w:val="00583B63"/>
    <w:rsid w:val="00583C7F"/>
    <w:rsid w:val="00583CA2"/>
    <w:rsid w:val="00584760"/>
    <w:rsid w:val="00584CF0"/>
    <w:rsid w:val="00585270"/>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DDF"/>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8C4"/>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0D"/>
    <w:rsid w:val="005A1A29"/>
    <w:rsid w:val="005A1A9E"/>
    <w:rsid w:val="005A228D"/>
    <w:rsid w:val="005A2645"/>
    <w:rsid w:val="005A2924"/>
    <w:rsid w:val="005A299E"/>
    <w:rsid w:val="005A2A20"/>
    <w:rsid w:val="005A2D6C"/>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1D4"/>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285"/>
    <w:rsid w:val="005C4834"/>
    <w:rsid w:val="005C4D01"/>
    <w:rsid w:val="005C4D73"/>
    <w:rsid w:val="005C4D83"/>
    <w:rsid w:val="005C4ED1"/>
    <w:rsid w:val="005C4FFB"/>
    <w:rsid w:val="005C50F9"/>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BAF"/>
    <w:rsid w:val="005D2C1F"/>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A48"/>
    <w:rsid w:val="005E0C36"/>
    <w:rsid w:val="005E10C6"/>
    <w:rsid w:val="005E140F"/>
    <w:rsid w:val="005E18FE"/>
    <w:rsid w:val="005E1DA9"/>
    <w:rsid w:val="005E2060"/>
    <w:rsid w:val="005E20D5"/>
    <w:rsid w:val="005E2604"/>
    <w:rsid w:val="005E2642"/>
    <w:rsid w:val="005E2790"/>
    <w:rsid w:val="005E2D72"/>
    <w:rsid w:val="005E2E20"/>
    <w:rsid w:val="005E2E24"/>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F9"/>
    <w:rsid w:val="005E4E43"/>
    <w:rsid w:val="005E573C"/>
    <w:rsid w:val="005E5A2C"/>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6DD"/>
    <w:rsid w:val="005F3728"/>
    <w:rsid w:val="005F389B"/>
    <w:rsid w:val="005F392C"/>
    <w:rsid w:val="005F3AC5"/>
    <w:rsid w:val="005F3B3D"/>
    <w:rsid w:val="005F4269"/>
    <w:rsid w:val="005F45F2"/>
    <w:rsid w:val="005F4D8C"/>
    <w:rsid w:val="005F4FD1"/>
    <w:rsid w:val="005F55B7"/>
    <w:rsid w:val="005F56B7"/>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689"/>
    <w:rsid w:val="006026E0"/>
    <w:rsid w:val="00602B69"/>
    <w:rsid w:val="00603000"/>
    <w:rsid w:val="006032B7"/>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CAD"/>
    <w:rsid w:val="00624EAA"/>
    <w:rsid w:val="0062502C"/>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7A2"/>
    <w:rsid w:val="00631B42"/>
    <w:rsid w:val="006320BF"/>
    <w:rsid w:val="006320E5"/>
    <w:rsid w:val="00632B69"/>
    <w:rsid w:val="00632F88"/>
    <w:rsid w:val="0063398B"/>
    <w:rsid w:val="00633D1E"/>
    <w:rsid w:val="00633E01"/>
    <w:rsid w:val="006345AB"/>
    <w:rsid w:val="00634CF5"/>
    <w:rsid w:val="00634DE0"/>
    <w:rsid w:val="006362F6"/>
    <w:rsid w:val="00636749"/>
    <w:rsid w:val="0063685C"/>
    <w:rsid w:val="006369A0"/>
    <w:rsid w:val="00636E7D"/>
    <w:rsid w:val="00637274"/>
    <w:rsid w:val="006372E3"/>
    <w:rsid w:val="00637418"/>
    <w:rsid w:val="006374EA"/>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D16"/>
    <w:rsid w:val="00643329"/>
    <w:rsid w:val="0064426D"/>
    <w:rsid w:val="00644608"/>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222"/>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62"/>
    <w:rsid w:val="00670B08"/>
    <w:rsid w:val="00670BDD"/>
    <w:rsid w:val="00671048"/>
    <w:rsid w:val="006712A6"/>
    <w:rsid w:val="006714B5"/>
    <w:rsid w:val="0067167F"/>
    <w:rsid w:val="006723D1"/>
    <w:rsid w:val="0067266F"/>
    <w:rsid w:val="006726E7"/>
    <w:rsid w:val="0067289A"/>
    <w:rsid w:val="006729A0"/>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F8F"/>
    <w:rsid w:val="00683175"/>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C2"/>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6AA"/>
    <w:rsid w:val="006C6881"/>
    <w:rsid w:val="006C69FD"/>
    <w:rsid w:val="006C6CF0"/>
    <w:rsid w:val="006C7235"/>
    <w:rsid w:val="006C726C"/>
    <w:rsid w:val="006C747D"/>
    <w:rsid w:val="006C77C3"/>
    <w:rsid w:val="006C7890"/>
    <w:rsid w:val="006C79B5"/>
    <w:rsid w:val="006C7E78"/>
    <w:rsid w:val="006D00B2"/>
    <w:rsid w:val="006D04ED"/>
    <w:rsid w:val="006D0A10"/>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A0F"/>
    <w:rsid w:val="006E205A"/>
    <w:rsid w:val="006E2145"/>
    <w:rsid w:val="006E23E1"/>
    <w:rsid w:val="006E28E8"/>
    <w:rsid w:val="006E29F8"/>
    <w:rsid w:val="006E2C8E"/>
    <w:rsid w:val="006E2D50"/>
    <w:rsid w:val="006E2E54"/>
    <w:rsid w:val="006E3158"/>
    <w:rsid w:val="006E3438"/>
    <w:rsid w:val="006E36CB"/>
    <w:rsid w:val="006E3725"/>
    <w:rsid w:val="006E3B66"/>
    <w:rsid w:val="006E3CDE"/>
    <w:rsid w:val="006E3D12"/>
    <w:rsid w:val="006E41A2"/>
    <w:rsid w:val="006E4323"/>
    <w:rsid w:val="006E45EA"/>
    <w:rsid w:val="006E4FFA"/>
    <w:rsid w:val="006E515C"/>
    <w:rsid w:val="006E5480"/>
    <w:rsid w:val="006E549B"/>
    <w:rsid w:val="006E5698"/>
    <w:rsid w:val="006E5928"/>
    <w:rsid w:val="006E5B5E"/>
    <w:rsid w:val="006E5C19"/>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A0D"/>
    <w:rsid w:val="006F4039"/>
    <w:rsid w:val="006F437D"/>
    <w:rsid w:val="006F4454"/>
    <w:rsid w:val="006F44A3"/>
    <w:rsid w:val="006F44FD"/>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109A"/>
    <w:rsid w:val="00701233"/>
    <w:rsid w:val="007019BC"/>
    <w:rsid w:val="00701B10"/>
    <w:rsid w:val="00701F0C"/>
    <w:rsid w:val="00702325"/>
    <w:rsid w:val="00702410"/>
    <w:rsid w:val="007026C6"/>
    <w:rsid w:val="007026E2"/>
    <w:rsid w:val="0070278D"/>
    <w:rsid w:val="00702DFC"/>
    <w:rsid w:val="007030FB"/>
    <w:rsid w:val="007034EB"/>
    <w:rsid w:val="00703C3F"/>
    <w:rsid w:val="00703CA8"/>
    <w:rsid w:val="00703FF3"/>
    <w:rsid w:val="00703FF7"/>
    <w:rsid w:val="007051CF"/>
    <w:rsid w:val="00705498"/>
    <w:rsid w:val="0070560B"/>
    <w:rsid w:val="00705791"/>
    <w:rsid w:val="00705B0D"/>
    <w:rsid w:val="00705DC5"/>
    <w:rsid w:val="00705EF4"/>
    <w:rsid w:val="007063A9"/>
    <w:rsid w:val="0070689B"/>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781"/>
    <w:rsid w:val="0073186A"/>
    <w:rsid w:val="00731993"/>
    <w:rsid w:val="00731E00"/>
    <w:rsid w:val="00732B3E"/>
    <w:rsid w:val="00732DDF"/>
    <w:rsid w:val="00732E10"/>
    <w:rsid w:val="00732E2A"/>
    <w:rsid w:val="00733294"/>
    <w:rsid w:val="0073361C"/>
    <w:rsid w:val="007338EC"/>
    <w:rsid w:val="0073401D"/>
    <w:rsid w:val="007345C9"/>
    <w:rsid w:val="00734C24"/>
    <w:rsid w:val="00734FA5"/>
    <w:rsid w:val="0073560E"/>
    <w:rsid w:val="00735675"/>
    <w:rsid w:val="00735A46"/>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CDA"/>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E50"/>
    <w:rsid w:val="007557E8"/>
    <w:rsid w:val="00755AA9"/>
    <w:rsid w:val="007560B9"/>
    <w:rsid w:val="007561DF"/>
    <w:rsid w:val="007564DF"/>
    <w:rsid w:val="00756BE4"/>
    <w:rsid w:val="00756CA5"/>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71A7"/>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720"/>
    <w:rsid w:val="007767A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500"/>
    <w:rsid w:val="007859CD"/>
    <w:rsid w:val="00785A09"/>
    <w:rsid w:val="00785D0F"/>
    <w:rsid w:val="00785ECE"/>
    <w:rsid w:val="0078627A"/>
    <w:rsid w:val="00786599"/>
    <w:rsid w:val="00786776"/>
    <w:rsid w:val="007867D1"/>
    <w:rsid w:val="0078690B"/>
    <w:rsid w:val="00786DDE"/>
    <w:rsid w:val="00786E0B"/>
    <w:rsid w:val="00786E61"/>
    <w:rsid w:val="0078711E"/>
    <w:rsid w:val="00787254"/>
    <w:rsid w:val="007900E6"/>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880"/>
    <w:rsid w:val="007A0932"/>
    <w:rsid w:val="007A0B9D"/>
    <w:rsid w:val="007A249A"/>
    <w:rsid w:val="007A2C60"/>
    <w:rsid w:val="007A2E8A"/>
    <w:rsid w:val="007A3571"/>
    <w:rsid w:val="007A3802"/>
    <w:rsid w:val="007A3D00"/>
    <w:rsid w:val="007A40D9"/>
    <w:rsid w:val="007A42FB"/>
    <w:rsid w:val="007A4434"/>
    <w:rsid w:val="007A47E3"/>
    <w:rsid w:val="007A4BC2"/>
    <w:rsid w:val="007A5185"/>
    <w:rsid w:val="007A5313"/>
    <w:rsid w:val="007A5535"/>
    <w:rsid w:val="007A5596"/>
    <w:rsid w:val="007A55DB"/>
    <w:rsid w:val="007A5755"/>
    <w:rsid w:val="007A5D4F"/>
    <w:rsid w:val="007A5E07"/>
    <w:rsid w:val="007A5FFA"/>
    <w:rsid w:val="007A64AF"/>
    <w:rsid w:val="007A683D"/>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7005"/>
    <w:rsid w:val="007B710B"/>
    <w:rsid w:val="007B71C9"/>
    <w:rsid w:val="007B7274"/>
    <w:rsid w:val="007B7428"/>
    <w:rsid w:val="007B74ED"/>
    <w:rsid w:val="007B7833"/>
    <w:rsid w:val="007B79A3"/>
    <w:rsid w:val="007C00F6"/>
    <w:rsid w:val="007C0198"/>
    <w:rsid w:val="007C04E8"/>
    <w:rsid w:val="007C0592"/>
    <w:rsid w:val="007C069C"/>
    <w:rsid w:val="007C0859"/>
    <w:rsid w:val="007C0B87"/>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669"/>
    <w:rsid w:val="007C56A6"/>
    <w:rsid w:val="007C586C"/>
    <w:rsid w:val="007C5A6C"/>
    <w:rsid w:val="007C5A6D"/>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12ED"/>
    <w:rsid w:val="007D171F"/>
    <w:rsid w:val="007D17CB"/>
    <w:rsid w:val="007D197A"/>
    <w:rsid w:val="007D1CB2"/>
    <w:rsid w:val="007D1EE9"/>
    <w:rsid w:val="007D1FF2"/>
    <w:rsid w:val="007D205A"/>
    <w:rsid w:val="007D2221"/>
    <w:rsid w:val="007D23B8"/>
    <w:rsid w:val="007D24FA"/>
    <w:rsid w:val="007D257F"/>
    <w:rsid w:val="007D2CB2"/>
    <w:rsid w:val="007D2EB2"/>
    <w:rsid w:val="007D303B"/>
    <w:rsid w:val="007D345B"/>
    <w:rsid w:val="007D369A"/>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5F3D"/>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2DC"/>
    <w:rsid w:val="007F2319"/>
    <w:rsid w:val="007F2C72"/>
    <w:rsid w:val="007F2E51"/>
    <w:rsid w:val="007F3271"/>
    <w:rsid w:val="007F3BC3"/>
    <w:rsid w:val="007F3DFB"/>
    <w:rsid w:val="007F4790"/>
    <w:rsid w:val="007F4AF1"/>
    <w:rsid w:val="007F4EDE"/>
    <w:rsid w:val="007F4EE2"/>
    <w:rsid w:val="007F4FAA"/>
    <w:rsid w:val="007F5209"/>
    <w:rsid w:val="007F5684"/>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1003"/>
    <w:rsid w:val="00801333"/>
    <w:rsid w:val="00801488"/>
    <w:rsid w:val="008016AF"/>
    <w:rsid w:val="00801753"/>
    <w:rsid w:val="00801929"/>
    <w:rsid w:val="00801BAD"/>
    <w:rsid w:val="00801F13"/>
    <w:rsid w:val="00801F3E"/>
    <w:rsid w:val="008021F4"/>
    <w:rsid w:val="008028AD"/>
    <w:rsid w:val="00802BA3"/>
    <w:rsid w:val="00802CFB"/>
    <w:rsid w:val="00802F9D"/>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6D1"/>
    <w:rsid w:val="00814887"/>
    <w:rsid w:val="00814ECC"/>
    <w:rsid w:val="00814F51"/>
    <w:rsid w:val="0081519E"/>
    <w:rsid w:val="0081537D"/>
    <w:rsid w:val="008154E2"/>
    <w:rsid w:val="0081559E"/>
    <w:rsid w:val="008159FA"/>
    <w:rsid w:val="00815C39"/>
    <w:rsid w:val="0081625F"/>
    <w:rsid w:val="0081628A"/>
    <w:rsid w:val="008168C4"/>
    <w:rsid w:val="00816B38"/>
    <w:rsid w:val="00816D0D"/>
    <w:rsid w:val="00817535"/>
    <w:rsid w:val="00817934"/>
    <w:rsid w:val="0082047F"/>
    <w:rsid w:val="008204B6"/>
    <w:rsid w:val="0082061D"/>
    <w:rsid w:val="00820740"/>
    <w:rsid w:val="00820B65"/>
    <w:rsid w:val="00820B73"/>
    <w:rsid w:val="00820F8B"/>
    <w:rsid w:val="00821050"/>
    <w:rsid w:val="008217AC"/>
    <w:rsid w:val="00821B43"/>
    <w:rsid w:val="00821E56"/>
    <w:rsid w:val="00821EBB"/>
    <w:rsid w:val="008223B9"/>
    <w:rsid w:val="008226ED"/>
    <w:rsid w:val="00823049"/>
    <w:rsid w:val="008238A5"/>
    <w:rsid w:val="008239E7"/>
    <w:rsid w:val="00824455"/>
    <w:rsid w:val="008245DD"/>
    <w:rsid w:val="008247D7"/>
    <w:rsid w:val="008249C7"/>
    <w:rsid w:val="00824AC8"/>
    <w:rsid w:val="00824BF2"/>
    <w:rsid w:val="00824C25"/>
    <w:rsid w:val="00825484"/>
    <w:rsid w:val="008257DD"/>
    <w:rsid w:val="00825A72"/>
    <w:rsid w:val="00825F2C"/>
    <w:rsid w:val="008260F2"/>
    <w:rsid w:val="008261A2"/>
    <w:rsid w:val="0082633E"/>
    <w:rsid w:val="008264EA"/>
    <w:rsid w:val="008269B8"/>
    <w:rsid w:val="00826D94"/>
    <w:rsid w:val="008270B4"/>
    <w:rsid w:val="008271C8"/>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B49"/>
    <w:rsid w:val="008451F4"/>
    <w:rsid w:val="00845271"/>
    <w:rsid w:val="00845D3D"/>
    <w:rsid w:val="00845E66"/>
    <w:rsid w:val="0084607D"/>
    <w:rsid w:val="00846155"/>
    <w:rsid w:val="00846268"/>
    <w:rsid w:val="00846378"/>
    <w:rsid w:val="008465EA"/>
    <w:rsid w:val="00846BB7"/>
    <w:rsid w:val="00846E58"/>
    <w:rsid w:val="00847AE8"/>
    <w:rsid w:val="00847BA1"/>
    <w:rsid w:val="00847E90"/>
    <w:rsid w:val="00847EA3"/>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4057"/>
    <w:rsid w:val="0085469C"/>
    <w:rsid w:val="008546E5"/>
    <w:rsid w:val="008546F4"/>
    <w:rsid w:val="00854B53"/>
    <w:rsid w:val="00854BCA"/>
    <w:rsid w:val="00854BE7"/>
    <w:rsid w:val="00854E39"/>
    <w:rsid w:val="008556F0"/>
    <w:rsid w:val="008557FA"/>
    <w:rsid w:val="008558EC"/>
    <w:rsid w:val="008559D0"/>
    <w:rsid w:val="00856614"/>
    <w:rsid w:val="008567F6"/>
    <w:rsid w:val="00856910"/>
    <w:rsid w:val="008569BD"/>
    <w:rsid w:val="00856A71"/>
    <w:rsid w:val="00856BE6"/>
    <w:rsid w:val="00856EE0"/>
    <w:rsid w:val="008570DC"/>
    <w:rsid w:val="0085766F"/>
    <w:rsid w:val="008577D8"/>
    <w:rsid w:val="008579B6"/>
    <w:rsid w:val="00857DAE"/>
    <w:rsid w:val="00857E38"/>
    <w:rsid w:val="00860151"/>
    <w:rsid w:val="008602F7"/>
    <w:rsid w:val="008605B4"/>
    <w:rsid w:val="008608C3"/>
    <w:rsid w:val="008608F4"/>
    <w:rsid w:val="00860A8F"/>
    <w:rsid w:val="008610CE"/>
    <w:rsid w:val="00861231"/>
    <w:rsid w:val="00861973"/>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762"/>
    <w:rsid w:val="00865ADF"/>
    <w:rsid w:val="00865E5A"/>
    <w:rsid w:val="00865E82"/>
    <w:rsid w:val="00865EA3"/>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47CE"/>
    <w:rsid w:val="00874942"/>
    <w:rsid w:val="00875239"/>
    <w:rsid w:val="0087523E"/>
    <w:rsid w:val="0087554A"/>
    <w:rsid w:val="0087559F"/>
    <w:rsid w:val="0087563F"/>
    <w:rsid w:val="008758A9"/>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EE"/>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D7B"/>
    <w:rsid w:val="00894376"/>
    <w:rsid w:val="00894747"/>
    <w:rsid w:val="00894749"/>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12AD"/>
    <w:rsid w:val="008A1320"/>
    <w:rsid w:val="008A17A9"/>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23B"/>
    <w:rsid w:val="008A6288"/>
    <w:rsid w:val="008A6506"/>
    <w:rsid w:val="008A66D0"/>
    <w:rsid w:val="008A6809"/>
    <w:rsid w:val="008A696E"/>
    <w:rsid w:val="008A7270"/>
    <w:rsid w:val="008A7573"/>
    <w:rsid w:val="008A7692"/>
    <w:rsid w:val="008A7BA2"/>
    <w:rsid w:val="008A7C38"/>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CB9"/>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BB4"/>
    <w:rsid w:val="008D1413"/>
    <w:rsid w:val="008D1867"/>
    <w:rsid w:val="008D1893"/>
    <w:rsid w:val="008D21E9"/>
    <w:rsid w:val="008D24EF"/>
    <w:rsid w:val="008D29E5"/>
    <w:rsid w:val="008D2CA3"/>
    <w:rsid w:val="008D312D"/>
    <w:rsid w:val="008D326B"/>
    <w:rsid w:val="008D347C"/>
    <w:rsid w:val="008D34EC"/>
    <w:rsid w:val="008D3CB6"/>
    <w:rsid w:val="008D49BD"/>
    <w:rsid w:val="008D59F8"/>
    <w:rsid w:val="008D5A51"/>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EDA"/>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295"/>
    <w:rsid w:val="008F39A5"/>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702"/>
    <w:rsid w:val="008F6BBA"/>
    <w:rsid w:val="008F6D4F"/>
    <w:rsid w:val="008F702E"/>
    <w:rsid w:val="008F7501"/>
    <w:rsid w:val="008F79CB"/>
    <w:rsid w:val="009000B3"/>
    <w:rsid w:val="00900384"/>
    <w:rsid w:val="009004EB"/>
    <w:rsid w:val="009009E1"/>
    <w:rsid w:val="009010F3"/>
    <w:rsid w:val="0090134D"/>
    <w:rsid w:val="0090141B"/>
    <w:rsid w:val="00901533"/>
    <w:rsid w:val="009017E5"/>
    <w:rsid w:val="00901827"/>
    <w:rsid w:val="00901DB7"/>
    <w:rsid w:val="00901ED0"/>
    <w:rsid w:val="00901F1E"/>
    <w:rsid w:val="00901FC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6D6"/>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D9"/>
    <w:rsid w:val="009221A7"/>
    <w:rsid w:val="009221A9"/>
    <w:rsid w:val="009222BA"/>
    <w:rsid w:val="00922AA7"/>
    <w:rsid w:val="00922DDF"/>
    <w:rsid w:val="00922DE9"/>
    <w:rsid w:val="00923419"/>
    <w:rsid w:val="00923DCE"/>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1AB"/>
    <w:rsid w:val="0094730D"/>
    <w:rsid w:val="00947318"/>
    <w:rsid w:val="00947477"/>
    <w:rsid w:val="0094759D"/>
    <w:rsid w:val="00947659"/>
    <w:rsid w:val="0094790F"/>
    <w:rsid w:val="00947A48"/>
    <w:rsid w:val="00947BD1"/>
    <w:rsid w:val="009500FA"/>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59"/>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6E66"/>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6765"/>
    <w:rsid w:val="009767AB"/>
    <w:rsid w:val="00976C29"/>
    <w:rsid w:val="00976C9A"/>
    <w:rsid w:val="00976F5A"/>
    <w:rsid w:val="00977490"/>
    <w:rsid w:val="009777D1"/>
    <w:rsid w:val="009778CC"/>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D36"/>
    <w:rsid w:val="00983EF4"/>
    <w:rsid w:val="00983EFF"/>
    <w:rsid w:val="00983F92"/>
    <w:rsid w:val="0098425B"/>
    <w:rsid w:val="00984490"/>
    <w:rsid w:val="009844F6"/>
    <w:rsid w:val="00984560"/>
    <w:rsid w:val="00984565"/>
    <w:rsid w:val="009845B5"/>
    <w:rsid w:val="009847D8"/>
    <w:rsid w:val="00984E2A"/>
    <w:rsid w:val="0098508F"/>
    <w:rsid w:val="00985C18"/>
    <w:rsid w:val="00985F69"/>
    <w:rsid w:val="009860A3"/>
    <w:rsid w:val="009862BB"/>
    <w:rsid w:val="00986388"/>
    <w:rsid w:val="009865BA"/>
    <w:rsid w:val="009868FF"/>
    <w:rsid w:val="00986A75"/>
    <w:rsid w:val="00986B4D"/>
    <w:rsid w:val="00986E51"/>
    <w:rsid w:val="00986E52"/>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35C"/>
    <w:rsid w:val="009946F1"/>
    <w:rsid w:val="009946FE"/>
    <w:rsid w:val="0099485E"/>
    <w:rsid w:val="00994950"/>
    <w:rsid w:val="00994CDC"/>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1577"/>
    <w:rsid w:val="009A1D95"/>
    <w:rsid w:val="009A1FC7"/>
    <w:rsid w:val="009A1FDE"/>
    <w:rsid w:val="009A2457"/>
    <w:rsid w:val="009A294C"/>
    <w:rsid w:val="009A2A12"/>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CE"/>
    <w:rsid w:val="009C6C07"/>
    <w:rsid w:val="009C6C2C"/>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274"/>
    <w:rsid w:val="009D1534"/>
    <w:rsid w:val="009D17A9"/>
    <w:rsid w:val="009D1D37"/>
    <w:rsid w:val="009D2618"/>
    <w:rsid w:val="009D3251"/>
    <w:rsid w:val="009D3427"/>
    <w:rsid w:val="009D343E"/>
    <w:rsid w:val="009D3782"/>
    <w:rsid w:val="009D38AF"/>
    <w:rsid w:val="009D3AD8"/>
    <w:rsid w:val="009D3ADE"/>
    <w:rsid w:val="009D3F33"/>
    <w:rsid w:val="009D40C7"/>
    <w:rsid w:val="009D45F2"/>
    <w:rsid w:val="009D4727"/>
    <w:rsid w:val="009D5823"/>
    <w:rsid w:val="009D5E59"/>
    <w:rsid w:val="009D5F52"/>
    <w:rsid w:val="009D6344"/>
    <w:rsid w:val="009D6663"/>
    <w:rsid w:val="009D6AF4"/>
    <w:rsid w:val="009D6D8F"/>
    <w:rsid w:val="009D6EC7"/>
    <w:rsid w:val="009D71E2"/>
    <w:rsid w:val="009D7347"/>
    <w:rsid w:val="009D74F2"/>
    <w:rsid w:val="009D7B67"/>
    <w:rsid w:val="009D7F77"/>
    <w:rsid w:val="009E03F5"/>
    <w:rsid w:val="009E063C"/>
    <w:rsid w:val="009E0753"/>
    <w:rsid w:val="009E08AD"/>
    <w:rsid w:val="009E11C9"/>
    <w:rsid w:val="009E12B9"/>
    <w:rsid w:val="009E1595"/>
    <w:rsid w:val="009E23C3"/>
    <w:rsid w:val="009E27FA"/>
    <w:rsid w:val="009E2890"/>
    <w:rsid w:val="009E2920"/>
    <w:rsid w:val="009E2DCF"/>
    <w:rsid w:val="009E3139"/>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4CA"/>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A4"/>
    <w:rsid w:val="00A0644F"/>
    <w:rsid w:val="00A067DA"/>
    <w:rsid w:val="00A06AD5"/>
    <w:rsid w:val="00A06B86"/>
    <w:rsid w:val="00A07658"/>
    <w:rsid w:val="00A077B9"/>
    <w:rsid w:val="00A07E9D"/>
    <w:rsid w:val="00A07EE4"/>
    <w:rsid w:val="00A10073"/>
    <w:rsid w:val="00A1014E"/>
    <w:rsid w:val="00A103EB"/>
    <w:rsid w:val="00A10474"/>
    <w:rsid w:val="00A10CBC"/>
    <w:rsid w:val="00A11176"/>
    <w:rsid w:val="00A11452"/>
    <w:rsid w:val="00A11CED"/>
    <w:rsid w:val="00A12202"/>
    <w:rsid w:val="00A122A5"/>
    <w:rsid w:val="00A1266B"/>
    <w:rsid w:val="00A12830"/>
    <w:rsid w:val="00A12A0D"/>
    <w:rsid w:val="00A12B26"/>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20153"/>
    <w:rsid w:val="00A2045F"/>
    <w:rsid w:val="00A20584"/>
    <w:rsid w:val="00A20B50"/>
    <w:rsid w:val="00A20B53"/>
    <w:rsid w:val="00A20C3F"/>
    <w:rsid w:val="00A213CE"/>
    <w:rsid w:val="00A21820"/>
    <w:rsid w:val="00A21D56"/>
    <w:rsid w:val="00A229CF"/>
    <w:rsid w:val="00A22D96"/>
    <w:rsid w:val="00A23275"/>
    <w:rsid w:val="00A2375A"/>
    <w:rsid w:val="00A23C10"/>
    <w:rsid w:val="00A23EC8"/>
    <w:rsid w:val="00A247BF"/>
    <w:rsid w:val="00A2489B"/>
    <w:rsid w:val="00A24D73"/>
    <w:rsid w:val="00A24DB3"/>
    <w:rsid w:val="00A2507A"/>
    <w:rsid w:val="00A254D4"/>
    <w:rsid w:val="00A25618"/>
    <w:rsid w:val="00A25928"/>
    <w:rsid w:val="00A2598A"/>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AA5"/>
    <w:rsid w:val="00A33DC0"/>
    <w:rsid w:val="00A341C0"/>
    <w:rsid w:val="00A34D73"/>
    <w:rsid w:val="00A352EB"/>
    <w:rsid w:val="00A3555A"/>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AAC"/>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70B0"/>
    <w:rsid w:val="00A473F5"/>
    <w:rsid w:val="00A47533"/>
    <w:rsid w:val="00A47ADD"/>
    <w:rsid w:val="00A47B5E"/>
    <w:rsid w:val="00A50569"/>
    <w:rsid w:val="00A50609"/>
    <w:rsid w:val="00A50854"/>
    <w:rsid w:val="00A508B4"/>
    <w:rsid w:val="00A50EFB"/>
    <w:rsid w:val="00A50F70"/>
    <w:rsid w:val="00A511D7"/>
    <w:rsid w:val="00A51556"/>
    <w:rsid w:val="00A5194B"/>
    <w:rsid w:val="00A51E0A"/>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D11"/>
    <w:rsid w:val="00A55D74"/>
    <w:rsid w:val="00A561D5"/>
    <w:rsid w:val="00A56456"/>
    <w:rsid w:val="00A56A19"/>
    <w:rsid w:val="00A56A69"/>
    <w:rsid w:val="00A56D1B"/>
    <w:rsid w:val="00A57C1C"/>
    <w:rsid w:val="00A57D56"/>
    <w:rsid w:val="00A60955"/>
    <w:rsid w:val="00A60D5C"/>
    <w:rsid w:val="00A6104D"/>
    <w:rsid w:val="00A61111"/>
    <w:rsid w:val="00A613A8"/>
    <w:rsid w:val="00A6151F"/>
    <w:rsid w:val="00A615ED"/>
    <w:rsid w:val="00A6226C"/>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B21"/>
    <w:rsid w:val="00A67B74"/>
    <w:rsid w:val="00A67DBC"/>
    <w:rsid w:val="00A70FDA"/>
    <w:rsid w:val="00A710CE"/>
    <w:rsid w:val="00A7185E"/>
    <w:rsid w:val="00A7199E"/>
    <w:rsid w:val="00A71F3A"/>
    <w:rsid w:val="00A71F41"/>
    <w:rsid w:val="00A71FD7"/>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6110"/>
    <w:rsid w:val="00A7651E"/>
    <w:rsid w:val="00A76DE9"/>
    <w:rsid w:val="00A76E8A"/>
    <w:rsid w:val="00A76F81"/>
    <w:rsid w:val="00A7750D"/>
    <w:rsid w:val="00A77790"/>
    <w:rsid w:val="00A7779E"/>
    <w:rsid w:val="00A80063"/>
    <w:rsid w:val="00A80D11"/>
    <w:rsid w:val="00A80D3E"/>
    <w:rsid w:val="00A80E0B"/>
    <w:rsid w:val="00A81015"/>
    <w:rsid w:val="00A81067"/>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1BB"/>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326B"/>
    <w:rsid w:val="00AA4297"/>
    <w:rsid w:val="00AA43A9"/>
    <w:rsid w:val="00AA46AE"/>
    <w:rsid w:val="00AA4DF6"/>
    <w:rsid w:val="00AA5051"/>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4CD"/>
    <w:rsid w:val="00AC68A5"/>
    <w:rsid w:val="00AC6F95"/>
    <w:rsid w:val="00AC7635"/>
    <w:rsid w:val="00AC7717"/>
    <w:rsid w:val="00AC77DC"/>
    <w:rsid w:val="00AC781B"/>
    <w:rsid w:val="00AC7AD4"/>
    <w:rsid w:val="00AD028A"/>
    <w:rsid w:val="00AD05AA"/>
    <w:rsid w:val="00AD0DAF"/>
    <w:rsid w:val="00AD0E50"/>
    <w:rsid w:val="00AD0F89"/>
    <w:rsid w:val="00AD115C"/>
    <w:rsid w:val="00AD1D73"/>
    <w:rsid w:val="00AD206F"/>
    <w:rsid w:val="00AD245B"/>
    <w:rsid w:val="00AD2595"/>
    <w:rsid w:val="00AD34BF"/>
    <w:rsid w:val="00AD369B"/>
    <w:rsid w:val="00AD3897"/>
    <w:rsid w:val="00AD39FE"/>
    <w:rsid w:val="00AD3B18"/>
    <w:rsid w:val="00AD3E44"/>
    <w:rsid w:val="00AD46B3"/>
    <w:rsid w:val="00AD4B8D"/>
    <w:rsid w:val="00AD4C6E"/>
    <w:rsid w:val="00AD4E82"/>
    <w:rsid w:val="00AD5325"/>
    <w:rsid w:val="00AD5476"/>
    <w:rsid w:val="00AD55D2"/>
    <w:rsid w:val="00AD5AB7"/>
    <w:rsid w:val="00AD5BFC"/>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FB9"/>
    <w:rsid w:val="00AF0021"/>
    <w:rsid w:val="00AF02D6"/>
    <w:rsid w:val="00AF0A95"/>
    <w:rsid w:val="00AF0CDA"/>
    <w:rsid w:val="00AF1175"/>
    <w:rsid w:val="00AF12EE"/>
    <w:rsid w:val="00AF13F9"/>
    <w:rsid w:val="00AF14E5"/>
    <w:rsid w:val="00AF16D8"/>
    <w:rsid w:val="00AF1A7D"/>
    <w:rsid w:val="00AF1F5E"/>
    <w:rsid w:val="00AF2004"/>
    <w:rsid w:val="00AF23C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552"/>
    <w:rsid w:val="00B015CB"/>
    <w:rsid w:val="00B01A27"/>
    <w:rsid w:val="00B02266"/>
    <w:rsid w:val="00B0260C"/>
    <w:rsid w:val="00B026F3"/>
    <w:rsid w:val="00B027A0"/>
    <w:rsid w:val="00B0353A"/>
    <w:rsid w:val="00B0432B"/>
    <w:rsid w:val="00B043A6"/>
    <w:rsid w:val="00B04EC0"/>
    <w:rsid w:val="00B050B6"/>
    <w:rsid w:val="00B05389"/>
    <w:rsid w:val="00B0589C"/>
    <w:rsid w:val="00B06091"/>
    <w:rsid w:val="00B06111"/>
    <w:rsid w:val="00B0631C"/>
    <w:rsid w:val="00B06431"/>
    <w:rsid w:val="00B06BC5"/>
    <w:rsid w:val="00B06BF3"/>
    <w:rsid w:val="00B06CB9"/>
    <w:rsid w:val="00B070B4"/>
    <w:rsid w:val="00B07265"/>
    <w:rsid w:val="00B076A0"/>
    <w:rsid w:val="00B076E7"/>
    <w:rsid w:val="00B07C4C"/>
    <w:rsid w:val="00B07C71"/>
    <w:rsid w:val="00B07E04"/>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5FC1"/>
    <w:rsid w:val="00B16039"/>
    <w:rsid w:val="00B160F8"/>
    <w:rsid w:val="00B162E6"/>
    <w:rsid w:val="00B1662D"/>
    <w:rsid w:val="00B16793"/>
    <w:rsid w:val="00B16948"/>
    <w:rsid w:val="00B16DF8"/>
    <w:rsid w:val="00B17457"/>
    <w:rsid w:val="00B2007F"/>
    <w:rsid w:val="00B201CC"/>
    <w:rsid w:val="00B20A1D"/>
    <w:rsid w:val="00B20DE4"/>
    <w:rsid w:val="00B20FB2"/>
    <w:rsid w:val="00B2153D"/>
    <w:rsid w:val="00B2154F"/>
    <w:rsid w:val="00B21978"/>
    <w:rsid w:val="00B21AEA"/>
    <w:rsid w:val="00B21C6D"/>
    <w:rsid w:val="00B2205D"/>
    <w:rsid w:val="00B2216E"/>
    <w:rsid w:val="00B2275B"/>
    <w:rsid w:val="00B22D5E"/>
    <w:rsid w:val="00B22F39"/>
    <w:rsid w:val="00B22FEF"/>
    <w:rsid w:val="00B2334D"/>
    <w:rsid w:val="00B23502"/>
    <w:rsid w:val="00B238B5"/>
    <w:rsid w:val="00B23A7A"/>
    <w:rsid w:val="00B23B86"/>
    <w:rsid w:val="00B24173"/>
    <w:rsid w:val="00B241D6"/>
    <w:rsid w:val="00B243EC"/>
    <w:rsid w:val="00B24775"/>
    <w:rsid w:val="00B24C64"/>
    <w:rsid w:val="00B24CBE"/>
    <w:rsid w:val="00B25639"/>
    <w:rsid w:val="00B25AB5"/>
    <w:rsid w:val="00B25BE3"/>
    <w:rsid w:val="00B25ECF"/>
    <w:rsid w:val="00B25F35"/>
    <w:rsid w:val="00B26720"/>
    <w:rsid w:val="00B2695D"/>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4895"/>
    <w:rsid w:val="00B3509C"/>
    <w:rsid w:val="00B35994"/>
    <w:rsid w:val="00B35B79"/>
    <w:rsid w:val="00B35CFB"/>
    <w:rsid w:val="00B363A8"/>
    <w:rsid w:val="00B366A0"/>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38D"/>
    <w:rsid w:val="00B44982"/>
    <w:rsid w:val="00B45671"/>
    <w:rsid w:val="00B45829"/>
    <w:rsid w:val="00B45A01"/>
    <w:rsid w:val="00B45B35"/>
    <w:rsid w:val="00B45CF3"/>
    <w:rsid w:val="00B45EFF"/>
    <w:rsid w:val="00B46566"/>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2115"/>
    <w:rsid w:val="00B52236"/>
    <w:rsid w:val="00B522FB"/>
    <w:rsid w:val="00B52710"/>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64C"/>
    <w:rsid w:val="00B7479B"/>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1433"/>
    <w:rsid w:val="00BA14B3"/>
    <w:rsid w:val="00BA1546"/>
    <w:rsid w:val="00BA17D8"/>
    <w:rsid w:val="00BA19B1"/>
    <w:rsid w:val="00BA1E9A"/>
    <w:rsid w:val="00BA228A"/>
    <w:rsid w:val="00BA259C"/>
    <w:rsid w:val="00BA25E3"/>
    <w:rsid w:val="00BA275C"/>
    <w:rsid w:val="00BA2819"/>
    <w:rsid w:val="00BA2C34"/>
    <w:rsid w:val="00BA2EC9"/>
    <w:rsid w:val="00BA2EDE"/>
    <w:rsid w:val="00BA2EEC"/>
    <w:rsid w:val="00BA2F2A"/>
    <w:rsid w:val="00BA3010"/>
    <w:rsid w:val="00BA34D4"/>
    <w:rsid w:val="00BA3666"/>
    <w:rsid w:val="00BA3853"/>
    <w:rsid w:val="00BA4107"/>
    <w:rsid w:val="00BA4CD6"/>
    <w:rsid w:val="00BA5208"/>
    <w:rsid w:val="00BA5777"/>
    <w:rsid w:val="00BA5862"/>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8FF"/>
    <w:rsid w:val="00BC234F"/>
    <w:rsid w:val="00BC2542"/>
    <w:rsid w:val="00BC2DAD"/>
    <w:rsid w:val="00BC3433"/>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4079"/>
    <w:rsid w:val="00BD40E6"/>
    <w:rsid w:val="00BD4558"/>
    <w:rsid w:val="00BD4BD0"/>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179C"/>
    <w:rsid w:val="00BF18B8"/>
    <w:rsid w:val="00BF1CFB"/>
    <w:rsid w:val="00BF1DEF"/>
    <w:rsid w:val="00BF2361"/>
    <w:rsid w:val="00BF27FD"/>
    <w:rsid w:val="00BF2EEC"/>
    <w:rsid w:val="00BF2F61"/>
    <w:rsid w:val="00BF31A5"/>
    <w:rsid w:val="00BF3C40"/>
    <w:rsid w:val="00BF3D8E"/>
    <w:rsid w:val="00BF3E6F"/>
    <w:rsid w:val="00BF4241"/>
    <w:rsid w:val="00BF45BD"/>
    <w:rsid w:val="00BF475A"/>
    <w:rsid w:val="00BF4A9C"/>
    <w:rsid w:val="00BF4D7A"/>
    <w:rsid w:val="00BF4DC1"/>
    <w:rsid w:val="00BF4F9C"/>
    <w:rsid w:val="00BF5380"/>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564"/>
    <w:rsid w:val="00BF76D9"/>
    <w:rsid w:val="00BF7801"/>
    <w:rsid w:val="00BF7FE3"/>
    <w:rsid w:val="00C001A6"/>
    <w:rsid w:val="00C0041D"/>
    <w:rsid w:val="00C0043A"/>
    <w:rsid w:val="00C0088E"/>
    <w:rsid w:val="00C00A89"/>
    <w:rsid w:val="00C00BD9"/>
    <w:rsid w:val="00C00E02"/>
    <w:rsid w:val="00C014D9"/>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39A"/>
    <w:rsid w:val="00C043F0"/>
    <w:rsid w:val="00C04E39"/>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6574"/>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BB"/>
    <w:rsid w:val="00C346CD"/>
    <w:rsid w:val="00C347F1"/>
    <w:rsid w:val="00C348FB"/>
    <w:rsid w:val="00C34C92"/>
    <w:rsid w:val="00C34D2F"/>
    <w:rsid w:val="00C34D8E"/>
    <w:rsid w:val="00C35FB2"/>
    <w:rsid w:val="00C360F7"/>
    <w:rsid w:val="00C3641F"/>
    <w:rsid w:val="00C36742"/>
    <w:rsid w:val="00C368BC"/>
    <w:rsid w:val="00C3699C"/>
    <w:rsid w:val="00C370B1"/>
    <w:rsid w:val="00C376B5"/>
    <w:rsid w:val="00C37F33"/>
    <w:rsid w:val="00C37F56"/>
    <w:rsid w:val="00C4046E"/>
    <w:rsid w:val="00C405C0"/>
    <w:rsid w:val="00C40795"/>
    <w:rsid w:val="00C40EA9"/>
    <w:rsid w:val="00C410C1"/>
    <w:rsid w:val="00C412DB"/>
    <w:rsid w:val="00C4131F"/>
    <w:rsid w:val="00C41627"/>
    <w:rsid w:val="00C41769"/>
    <w:rsid w:val="00C41DBC"/>
    <w:rsid w:val="00C41E77"/>
    <w:rsid w:val="00C41EA8"/>
    <w:rsid w:val="00C427C5"/>
    <w:rsid w:val="00C427F7"/>
    <w:rsid w:val="00C42D26"/>
    <w:rsid w:val="00C42D8D"/>
    <w:rsid w:val="00C447AF"/>
    <w:rsid w:val="00C44B77"/>
    <w:rsid w:val="00C44FFD"/>
    <w:rsid w:val="00C45026"/>
    <w:rsid w:val="00C45238"/>
    <w:rsid w:val="00C4526F"/>
    <w:rsid w:val="00C452A4"/>
    <w:rsid w:val="00C452B6"/>
    <w:rsid w:val="00C45562"/>
    <w:rsid w:val="00C45962"/>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52D5"/>
    <w:rsid w:val="00C55788"/>
    <w:rsid w:val="00C5582D"/>
    <w:rsid w:val="00C558E3"/>
    <w:rsid w:val="00C55DB1"/>
    <w:rsid w:val="00C564CA"/>
    <w:rsid w:val="00C5673F"/>
    <w:rsid w:val="00C56902"/>
    <w:rsid w:val="00C56A4A"/>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F9"/>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EB1"/>
    <w:rsid w:val="00C83F89"/>
    <w:rsid w:val="00C841C7"/>
    <w:rsid w:val="00C8424B"/>
    <w:rsid w:val="00C8469A"/>
    <w:rsid w:val="00C8479F"/>
    <w:rsid w:val="00C84D9D"/>
    <w:rsid w:val="00C85628"/>
    <w:rsid w:val="00C85B0E"/>
    <w:rsid w:val="00C85E84"/>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F67"/>
    <w:rsid w:val="00C9125C"/>
    <w:rsid w:val="00C914BB"/>
    <w:rsid w:val="00C91B07"/>
    <w:rsid w:val="00C91E97"/>
    <w:rsid w:val="00C92188"/>
    <w:rsid w:val="00C92297"/>
    <w:rsid w:val="00C92D3A"/>
    <w:rsid w:val="00C930EE"/>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5B"/>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E51"/>
    <w:rsid w:val="00CB4FB1"/>
    <w:rsid w:val="00CB5460"/>
    <w:rsid w:val="00CB5A97"/>
    <w:rsid w:val="00CB5ABD"/>
    <w:rsid w:val="00CB5E70"/>
    <w:rsid w:val="00CB6270"/>
    <w:rsid w:val="00CB63C9"/>
    <w:rsid w:val="00CB65FD"/>
    <w:rsid w:val="00CB6713"/>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2E9"/>
    <w:rsid w:val="00CC15FC"/>
    <w:rsid w:val="00CC18D3"/>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A4E"/>
    <w:rsid w:val="00CC5706"/>
    <w:rsid w:val="00CC570B"/>
    <w:rsid w:val="00CC5F41"/>
    <w:rsid w:val="00CC6361"/>
    <w:rsid w:val="00CC6B3B"/>
    <w:rsid w:val="00CC772C"/>
    <w:rsid w:val="00CC78FC"/>
    <w:rsid w:val="00CC7F5D"/>
    <w:rsid w:val="00CD0272"/>
    <w:rsid w:val="00CD035C"/>
    <w:rsid w:val="00CD0377"/>
    <w:rsid w:val="00CD040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85F"/>
    <w:rsid w:val="00CD3869"/>
    <w:rsid w:val="00CD395C"/>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85C"/>
    <w:rsid w:val="00CF2995"/>
    <w:rsid w:val="00CF2D46"/>
    <w:rsid w:val="00CF2F16"/>
    <w:rsid w:val="00CF3168"/>
    <w:rsid w:val="00CF31C5"/>
    <w:rsid w:val="00CF3315"/>
    <w:rsid w:val="00CF3D89"/>
    <w:rsid w:val="00CF3EDB"/>
    <w:rsid w:val="00CF43B9"/>
    <w:rsid w:val="00CF4407"/>
    <w:rsid w:val="00CF46C8"/>
    <w:rsid w:val="00CF4711"/>
    <w:rsid w:val="00CF49E0"/>
    <w:rsid w:val="00CF4E99"/>
    <w:rsid w:val="00CF4EB5"/>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D15"/>
    <w:rsid w:val="00D1119C"/>
    <w:rsid w:val="00D11474"/>
    <w:rsid w:val="00D11666"/>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36"/>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5E6"/>
    <w:rsid w:val="00D327DD"/>
    <w:rsid w:val="00D329E6"/>
    <w:rsid w:val="00D32D76"/>
    <w:rsid w:val="00D332B9"/>
    <w:rsid w:val="00D3374D"/>
    <w:rsid w:val="00D33A99"/>
    <w:rsid w:val="00D33C44"/>
    <w:rsid w:val="00D33CF5"/>
    <w:rsid w:val="00D33D09"/>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E07"/>
    <w:rsid w:val="00D4507A"/>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0E54"/>
    <w:rsid w:val="00D511B3"/>
    <w:rsid w:val="00D51261"/>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C9"/>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8A9"/>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BCC"/>
    <w:rsid w:val="00D71DBB"/>
    <w:rsid w:val="00D72452"/>
    <w:rsid w:val="00D725F2"/>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7E4"/>
    <w:rsid w:val="00D8083D"/>
    <w:rsid w:val="00D8098E"/>
    <w:rsid w:val="00D80BE9"/>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F1"/>
    <w:rsid w:val="00D96A52"/>
    <w:rsid w:val="00D96CE5"/>
    <w:rsid w:val="00D96EC3"/>
    <w:rsid w:val="00D97C85"/>
    <w:rsid w:val="00DA019E"/>
    <w:rsid w:val="00DA049D"/>
    <w:rsid w:val="00DA06F0"/>
    <w:rsid w:val="00DA08A9"/>
    <w:rsid w:val="00DA0994"/>
    <w:rsid w:val="00DA0A91"/>
    <w:rsid w:val="00DA0AC0"/>
    <w:rsid w:val="00DA0B4F"/>
    <w:rsid w:val="00DA0BB5"/>
    <w:rsid w:val="00DA0F74"/>
    <w:rsid w:val="00DA122C"/>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2E5"/>
    <w:rsid w:val="00DA6475"/>
    <w:rsid w:val="00DA685C"/>
    <w:rsid w:val="00DA6DFF"/>
    <w:rsid w:val="00DA718D"/>
    <w:rsid w:val="00DA755B"/>
    <w:rsid w:val="00DA76FD"/>
    <w:rsid w:val="00DA7E35"/>
    <w:rsid w:val="00DB032C"/>
    <w:rsid w:val="00DB07AE"/>
    <w:rsid w:val="00DB0ADF"/>
    <w:rsid w:val="00DB0CFF"/>
    <w:rsid w:val="00DB0FA5"/>
    <w:rsid w:val="00DB11F8"/>
    <w:rsid w:val="00DB1507"/>
    <w:rsid w:val="00DB1B56"/>
    <w:rsid w:val="00DB21D9"/>
    <w:rsid w:val="00DB21DA"/>
    <w:rsid w:val="00DB22CB"/>
    <w:rsid w:val="00DB25C4"/>
    <w:rsid w:val="00DB2738"/>
    <w:rsid w:val="00DB2B36"/>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C01B1"/>
    <w:rsid w:val="00DC0770"/>
    <w:rsid w:val="00DC09A4"/>
    <w:rsid w:val="00DC0A7C"/>
    <w:rsid w:val="00DC0B01"/>
    <w:rsid w:val="00DC1271"/>
    <w:rsid w:val="00DC12B6"/>
    <w:rsid w:val="00DC1427"/>
    <w:rsid w:val="00DC143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F7E"/>
    <w:rsid w:val="00DD11CA"/>
    <w:rsid w:val="00DD1327"/>
    <w:rsid w:val="00DD14D3"/>
    <w:rsid w:val="00DD17D8"/>
    <w:rsid w:val="00DD2054"/>
    <w:rsid w:val="00DD2059"/>
    <w:rsid w:val="00DD22A5"/>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D7F"/>
    <w:rsid w:val="00DD5F4D"/>
    <w:rsid w:val="00DD6675"/>
    <w:rsid w:val="00DD691E"/>
    <w:rsid w:val="00DD69A6"/>
    <w:rsid w:val="00DD6A9F"/>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B6"/>
    <w:rsid w:val="00DE2579"/>
    <w:rsid w:val="00DE26B4"/>
    <w:rsid w:val="00DE28D4"/>
    <w:rsid w:val="00DE2ECB"/>
    <w:rsid w:val="00DE31A3"/>
    <w:rsid w:val="00DE322F"/>
    <w:rsid w:val="00DE3C28"/>
    <w:rsid w:val="00DE4177"/>
    <w:rsid w:val="00DE45F4"/>
    <w:rsid w:val="00DE48B6"/>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44"/>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24E"/>
    <w:rsid w:val="00E06431"/>
    <w:rsid w:val="00E064C9"/>
    <w:rsid w:val="00E065B6"/>
    <w:rsid w:val="00E06A48"/>
    <w:rsid w:val="00E06D74"/>
    <w:rsid w:val="00E075E6"/>
    <w:rsid w:val="00E076D9"/>
    <w:rsid w:val="00E07789"/>
    <w:rsid w:val="00E077BD"/>
    <w:rsid w:val="00E07C4B"/>
    <w:rsid w:val="00E07E08"/>
    <w:rsid w:val="00E07FBE"/>
    <w:rsid w:val="00E1002C"/>
    <w:rsid w:val="00E10731"/>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16F0"/>
    <w:rsid w:val="00E219FF"/>
    <w:rsid w:val="00E21C77"/>
    <w:rsid w:val="00E21CDF"/>
    <w:rsid w:val="00E222FD"/>
    <w:rsid w:val="00E2235F"/>
    <w:rsid w:val="00E224B5"/>
    <w:rsid w:val="00E2251A"/>
    <w:rsid w:val="00E22A18"/>
    <w:rsid w:val="00E22A37"/>
    <w:rsid w:val="00E22FF8"/>
    <w:rsid w:val="00E233AC"/>
    <w:rsid w:val="00E234CE"/>
    <w:rsid w:val="00E23A1F"/>
    <w:rsid w:val="00E242A1"/>
    <w:rsid w:val="00E24974"/>
    <w:rsid w:val="00E25524"/>
    <w:rsid w:val="00E25918"/>
    <w:rsid w:val="00E2594D"/>
    <w:rsid w:val="00E25A21"/>
    <w:rsid w:val="00E25F26"/>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4E9"/>
    <w:rsid w:val="00E32840"/>
    <w:rsid w:val="00E32B15"/>
    <w:rsid w:val="00E32BAB"/>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83"/>
    <w:rsid w:val="00E415CB"/>
    <w:rsid w:val="00E416A8"/>
    <w:rsid w:val="00E41712"/>
    <w:rsid w:val="00E4199B"/>
    <w:rsid w:val="00E41BA2"/>
    <w:rsid w:val="00E41C76"/>
    <w:rsid w:val="00E422A7"/>
    <w:rsid w:val="00E42377"/>
    <w:rsid w:val="00E42405"/>
    <w:rsid w:val="00E42521"/>
    <w:rsid w:val="00E425F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257"/>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505E"/>
    <w:rsid w:val="00E663F6"/>
    <w:rsid w:val="00E667CA"/>
    <w:rsid w:val="00E66EE3"/>
    <w:rsid w:val="00E6722E"/>
    <w:rsid w:val="00E672C2"/>
    <w:rsid w:val="00E6776A"/>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720"/>
    <w:rsid w:val="00E76B8B"/>
    <w:rsid w:val="00E77069"/>
    <w:rsid w:val="00E77417"/>
    <w:rsid w:val="00E77E86"/>
    <w:rsid w:val="00E77EEC"/>
    <w:rsid w:val="00E805D2"/>
    <w:rsid w:val="00E8062D"/>
    <w:rsid w:val="00E80A5B"/>
    <w:rsid w:val="00E80E0C"/>
    <w:rsid w:val="00E81370"/>
    <w:rsid w:val="00E813E3"/>
    <w:rsid w:val="00E81493"/>
    <w:rsid w:val="00E8159A"/>
    <w:rsid w:val="00E818BF"/>
    <w:rsid w:val="00E81F5B"/>
    <w:rsid w:val="00E821D5"/>
    <w:rsid w:val="00E8239D"/>
    <w:rsid w:val="00E82418"/>
    <w:rsid w:val="00E825E4"/>
    <w:rsid w:val="00E829EC"/>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98F"/>
    <w:rsid w:val="00E85A2D"/>
    <w:rsid w:val="00E85DB8"/>
    <w:rsid w:val="00E86279"/>
    <w:rsid w:val="00E862A3"/>
    <w:rsid w:val="00E863BB"/>
    <w:rsid w:val="00E8654C"/>
    <w:rsid w:val="00E86DA5"/>
    <w:rsid w:val="00E87262"/>
    <w:rsid w:val="00E87279"/>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379"/>
    <w:rsid w:val="00EA33DA"/>
    <w:rsid w:val="00EA3612"/>
    <w:rsid w:val="00EA3650"/>
    <w:rsid w:val="00EA3A39"/>
    <w:rsid w:val="00EA3E14"/>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483"/>
    <w:rsid w:val="00EB0520"/>
    <w:rsid w:val="00EB063A"/>
    <w:rsid w:val="00EB0D82"/>
    <w:rsid w:val="00EB0FED"/>
    <w:rsid w:val="00EB0FEF"/>
    <w:rsid w:val="00EB135E"/>
    <w:rsid w:val="00EB1546"/>
    <w:rsid w:val="00EB1957"/>
    <w:rsid w:val="00EB1CBC"/>
    <w:rsid w:val="00EB1E78"/>
    <w:rsid w:val="00EB1E85"/>
    <w:rsid w:val="00EB1F9C"/>
    <w:rsid w:val="00EB20AE"/>
    <w:rsid w:val="00EB25F8"/>
    <w:rsid w:val="00EB29E7"/>
    <w:rsid w:val="00EB2A36"/>
    <w:rsid w:val="00EB2D7E"/>
    <w:rsid w:val="00EB2F0E"/>
    <w:rsid w:val="00EB2FDF"/>
    <w:rsid w:val="00EB30E8"/>
    <w:rsid w:val="00EB3235"/>
    <w:rsid w:val="00EB3256"/>
    <w:rsid w:val="00EB32A9"/>
    <w:rsid w:val="00EB370B"/>
    <w:rsid w:val="00EB3A7D"/>
    <w:rsid w:val="00EB3BBA"/>
    <w:rsid w:val="00EB3C2B"/>
    <w:rsid w:val="00EB3E3F"/>
    <w:rsid w:val="00EB411F"/>
    <w:rsid w:val="00EB41E7"/>
    <w:rsid w:val="00EB41EC"/>
    <w:rsid w:val="00EB4A61"/>
    <w:rsid w:val="00EB51BC"/>
    <w:rsid w:val="00EB5DB0"/>
    <w:rsid w:val="00EB5E4A"/>
    <w:rsid w:val="00EB629A"/>
    <w:rsid w:val="00EB6629"/>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A7C"/>
    <w:rsid w:val="00EC6E8A"/>
    <w:rsid w:val="00EC715A"/>
    <w:rsid w:val="00EC71F1"/>
    <w:rsid w:val="00EC744D"/>
    <w:rsid w:val="00EC7780"/>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8A"/>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6B9"/>
    <w:rsid w:val="00EF098D"/>
    <w:rsid w:val="00EF09F1"/>
    <w:rsid w:val="00EF138F"/>
    <w:rsid w:val="00EF1530"/>
    <w:rsid w:val="00EF16C0"/>
    <w:rsid w:val="00EF2775"/>
    <w:rsid w:val="00EF29D4"/>
    <w:rsid w:val="00EF2BD8"/>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EB0"/>
    <w:rsid w:val="00EF764F"/>
    <w:rsid w:val="00EF795A"/>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860"/>
    <w:rsid w:val="00F17C64"/>
    <w:rsid w:val="00F17EBA"/>
    <w:rsid w:val="00F204D3"/>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703F"/>
    <w:rsid w:val="00F2750A"/>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DC9"/>
    <w:rsid w:val="00F45F40"/>
    <w:rsid w:val="00F46003"/>
    <w:rsid w:val="00F460C0"/>
    <w:rsid w:val="00F46621"/>
    <w:rsid w:val="00F46D42"/>
    <w:rsid w:val="00F46F7D"/>
    <w:rsid w:val="00F46FAC"/>
    <w:rsid w:val="00F47198"/>
    <w:rsid w:val="00F47A10"/>
    <w:rsid w:val="00F47B2C"/>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6E76"/>
    <w:rsid w:val="00F87069"/>
    <w:rsid w:val="00F87098"/>
    <w:rsid w:val="00F87DEF"/>
    <w:rsid w:val="00F87F83"/>
    <w:rsid w:val="00F87FAF"/>
    <w:rsid w:val="00F9041B"/>
    <w:rsid w:val="00F905B7"/>
    <w:rsid w:val="00F908CF"/>
    <w:rsid w:val="00F90A65"/>
    <w:rsid w:val="00F90C4D"/>
    <w:rsid w:val="00F90DFC"/>
    <w:rsid w:val="00F912EF"/>
    <w:rsid w:val="00F91366"/>
    <w:rsid w:val="00F91BA4"/>
    <w:rsid w:val="00F920FD"/>
    <w:rsid w:val="00F921F7"/>
    <w:rsid w:val="00F92231"/>
    <w:rsid w:val="00F929DC"/>
    <w:rsid w:val="00F92B66"/>
    <w:rsid w:val="00F93746"/>
    <w:rsid w:val="00F93849"/>
    <w:rsid w:val="00F93CEB"/>
    <w:rsid w:val="00F93EBB"/>
    <w:rsid w:val="00F9492E"/>
    <w:rsid w:val="00F94A91"/>
    <w:rsid w:val="00F94C6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2436"/>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EF6"/>
    <w:rsid w:val="00FA7075"/>
    <w:rsid w:val="00FA74F5"/>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C3A"/>
    <w:rsid w:val="00FB1D52"/>
    <w:rsid w:val="00FB2F01"/>
    <w:rsid w:val="00FB3051"/>
    <w:rsid w:val="00FB31F7"/>
    <w:rsid w:val="00FB37EE"/>
    <w:rsid w:val="00FB3C62"/>
    <w:rsid w:val="00FB4199"/>
    <w:rsid w:val="00FB446C"/>
    <w:rsid w:val="00FB4E26"/>
    <w:rsid w:val="00FB4FCF"/>
    <w:rsid w:val="00FB50C3"/>
    <w:rsid w:val="00FB536E"/>
    <w:rsid w:val="00FB58A2"/>
    <w:rsid w:val="00FB58BD"/>
    <w:rsid w:val="00FB59EA"/>
    <w:rsid w:val="00FB5CF0"/>
    <w:rsid w:val="00FB5E78"/>
    <w:rsid w:val="00FB637E"/>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3207"/>
    <w:rsid w:val="00FC3348"/>
    <w:rsid w:val="00FC3355"/>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5369"/>
    <w:rsid w:val="00FD5456"/>
    <w:rsid w:val="00FD5858"/>
    <w:rsid w:val="00FD5A74"/>
    <w:rsid w:val="00FD5BF7"/>
    <w:rsid w:val="00FD5DB5"/>
    <w:rsid w:val="00FD5E9F"/>
    <w:rsid w:val="00FD5FD0"/>
    <w:rsid w:val="00FD67DD"/>
    <w:rsid w:val="00FD69AA"/>
    <w:rsid w:val="00FD73F4"/>
    <w:rsid w:val="00FD7672"/>
    <w:rsid w:val="00FD7E9F"/>
    <w:rsid w:val="00FD7F86"/>
    <w:rsid w:val="00FE0013"/>
    <w:rsid w:val="00FE0712"/>
    <w:rsid w:val="00FE0AF3"/>
    <w:rsid w:val="00FE1825"/>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F6"/>
    <w:rPr>
      <w:sz w:val="24"/>
      <w:szCs w:val="24"/>
      <w:lang w:val="ru-RU" w:eastAsia="ru-RU"/>
    </w:rPr>
  </w:style>
  <w:style w:type="paragraph" w:styleId="Heading2">
    <w:name w:val="heading 2"/>
    <w:basedOn w:val="Normal"/>
    <w:next w:val="Normal"/>
    <w:link w:val="Heading2Char"/>
    <w:uiPriority w:val="99"/>
    <w:qFormat/>
    <w:locked/>
    <w:rsid w:val="005C11D4"/>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460EF6"/>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D74F2"/>
    <w:rPr>
      <w:rFonts w:ascii="Cambria" w:hAnsi="Cambria" w:cs="Times New Roman"/>
      <w:b/>
      <w:bCs/>
      <w:i/>
      <w:iCs/>
      <w:sz w:val="28"/>
      <w:szCs w:val="28"/>
      <w:lang w:val="ru-RU" w:eastAsia="ru-RU"/>
    </w:rPr>
  </w:style>
  <w:style w:type="character" w:customStyle="1" w:styleId="Heading3Char">
    <w:name w:val="Heading 3 Char"/>
    <w:basedOn w:val="DefaultParagraphFont"/>
    <w:link w:val="Heading3"/>
    <w:uiPriority w:val="99"/>
    <w:semiHidden/>
    <w:locked/>
    <w:rsid w:val="009D74F2"/>
    <w:rPr>
      <w:rFonts w:ascii="Cambria" w:hAnsi="Cambria" w:cs="Times New Roman"/>
      <w:b/>
      <w:bCs/>
      <w:sz w:val="26"/>
      <w:szCs w:val="26"/>
      <w:lang w:val="ru-RU" w:eastAsia="ru-RU"/>
    </w:rPr>
  </w:style>
  <w:style w:type="paragraph" w:styleId="NormalWeb">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Normal"/>
    <w:link w:val="NormalWebChar"/>
    <w:uiPriority w:val="99"/>
    <w:rsid w:val="00460EF6"/>
    <w:pPr>
      <w:spacing w:before="100" w:beforeAutospacing="1" w:after="100" w:afterAutospacing="1"/>
    </w:pPr>
    <w:rPr>
      <w:szCs w:val="20"/>
    </w:rPr>
  </w:style>
  <w:style w:type="paragraph" w:customStyle="1" w:styleId="a">
    <w:name w:val="Знак Знак"/>
    <w:basedOn w:val="Normal"/>
    <w:uiPriority w:val="99"/>
    <w:rsid w:val="00154066"/>
    <w:pPr>
      <w:autoSpaceDE w:val="0"/>
      <w:autoSpaceDN w:val="0"/>
    </w:pPr>
    <w:rPr>
      <w:rFonts w:ascii="Verdana" w:hAnsi="Verdana" w:cs="Verdana"/>
      <w:sz w:val="20"/>
      <w:szCs w:val="20"/>
      <w:lang w:val="en-US" w:eastAsia="en-US"/>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Char,Знак1 Знак Знак Знак Char,Знак Char,Обычный (веб) Знак2 Char,Обычный (веб) Знак1 Знак Char"/>
    <w:link w:val="NormalWeb"/>
    <w:uiPriority w:val="99"/>
    <w:locked/>
    <w:rsid w:val="00154066"/>
    <w:rPr>
      <w:sz w:val="24"/>
      <w:lang w:val="ru-RU" w:eastAsia="ru-RU"/>
    </w:rPr>
  </w:style>
  <w:style w:type="paragraph" w:styleId="Header">
    <w:name w:val="header"/>
    <w:basedOn w:val="Normal"/>
    <w:link w:val="HeaderChar"/>
    <w:uiPriority w:val="99"/>
    <w:rsid w:val="00A83140"/>
    <w:pPr>
      <w:tabs>
        <w:tab w:val="center" w:pos="4677"/>
        <w:tab w:val="right" w:pos="9355"/>
      </w:tabs>
    </w:pPr>
  </w:style>
  <w:style w:type="character" w:customStyle="1" w:styleId="HeaderChar">
    <w:name w:val="Header Char"/>
    <w:basedOn w:val="DefaultParagraphFont"/>
    <w:link w:val="Header"/>
    <w:uiPriority w:val="99"/>
    <w:semiHidden/>
    <w:locked/>
    <w:rsid w:val="009D74F2"/>
    <w:rPr>
      <w:rFonts w:cs="Times New Roman"/>
      <w:sz w:val="24"/>
      <w:szCs w:val="24"/>
      <w:lang w:val="ru-RU" w:eastAsia="ru-RU"/>
    </w:rPr>
  </w:style>
  <w:style w:type="character" w:styleId="PageNumber">
    <w:name w:val="page number"/>
    <w:basedOn w:val="DefaultParagraphFont"/>
    <w:uiPriority w:val="99"/>
    <w:rsid w:val="00A83140"/>
    <w:rPr>
      <w:rFonts w:cs="Times New Roman"/>
    </w:rPr>
  </w:style>
  <w:style w:type="paragraph" w:styleId="Footer">
    <w:name w:val="footer"/>
    <w:basedOn w:val="Normal"/>
    <w:link w:val="FooterChar"/>
    <w:uiPriority w:val="99"/>
    <w:rsid w:val="00D119E0"/>
    <w:pPr>
      <w:tabs>
        <w:tab w:val="center" w:pos="4677"/>
        <w:tab w:val="right" w:pos="9355"/>
      </w:tabs>
    </w:pPr>
  </w:style>
  <w:style w:type="character" w:customStyle="1" w:styleId="FooterChar">
    <w:name w:val="Footer Char"/>
    <w:basedOn w:val="DefaultParagraphFont"/>
    <w:link w:val="Footer"/>
    <w:uiPriority w:val="99"/>
    <w:semiHidden/>
    <w:locked/>
    <w:rsid w:val="009D74F2"/>
    <w:rPr>
      <w:rFonts w:cs="Times New Roman"/>
      <w:sz w:val="24"/>
      <w:szCs w:val="24"/>
      <w:lang w:val="ru-RU" w:eastAsia="ru-RU"/>
    </w:rPr>
  </w:style>
  <w:style w:type="paragraph" w:customStyle="1" w:styleId="a5">
    <w:name w:val="a5"/>
    <w:basedOn w:val="Normal"/>
    <w:uiPriority w:val="99"/>
    <w:rsid w:val="002B32B5"/>
    <w:pPr>
      <w:spacing w:before="100" w:beforeAutospacing="1" w:after="100" w:afterAutospacing="1"/>
    </w:pPr>
  </w:style>
  <w:style w:type="character" w:customStyle="1" w:styleId="st44">
    <w:name w:val="st44"/>
    <w:uiPriority w:val="99"/>
    <w:rsid w:val="00E03244"/>
    <w:rPr>
      <w:rFonts w:ascii="Times New Roman" w:hAnsi="Times New Roman"/>
      <w:b/>
      <w:color w:val="000000"/>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269</TotalTime>
  <Pages>7</Pages>
  <Words>1645</Words>
  <Characters>9382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d16-rochnyak</dc:creator>
  <cp:keywords/>
  <dc:description/>
  <cp:lastModifiedBy>Оксана-ПК</cp:lastModifiedBy>
  <cp:revision>38</cp:revision>
  <cp:lastPrinted>2017-03-20T08:05:00Z</cp:lastPrinted>
  <dcterms:created xsi:type="dcterms:W3CDTF">2017-01-25T09:55:00Z</dcterms:created>
  <dcterms:modified xsi:type="dcterms:W3CDTF">2017-03-21T12:26:00Z</dcterms:modified>
</cp:coreProperties>
</file>