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6C906" w14:textId="77777777" w:rsidR="00A6450B" w:rsidRPr="00A6450B" w:rsidRDefault="009841F6" w:rsidP="00A6450B">
      <w:pPr>
        <w:spacing w:after="0" w:line="240" w:lineRule="auto"/>
        <w:rPr>
          <w:rFonts w:ascii="Times New Roman" w:eastAsia="Times New Roman" w:hAnsi="Times New Roman" w:cs="Times New Roman"/>
          <w:kern w:val="0"/>
          <w:lang w:eastAsia="ru-RU"/>
          <w14:ligatures w14:val="none"/>
        </w:rPr>
      </w:pPr>
      <w:r>
        <w:rPr>
          <w:rFonts w:ascii="Times New Roman" w:eastAsia="Times New Roman" w:hAnsi="Times New Roman" w:cs="Times New Roman"/>
          <w:noProof/>
          <w:kern w:val="0"/>
          <w:lang w:eastAsia="ru-RU"/>
        </w:rPr>
        <w:pict w14:anchorId="7C39BF94">
          <v:rect id="_x0000_i1025" alt="" style="width:451.3pt;height:.05pt;mso-width-percent:0;mso-height-percent:0;mso-width-percent:0;mso-height-percent:0" o:hrstd="t" o:hrnoshade="t" o:hr="t" fillcolor="black" stroked="f"/>
        </w:pict>
      </w:r>
    </w:p>
    <w:tbl>
      <w:tblPr>
        <w:tblW w:w="5000" w:type="pct"/>
        <w:tblCellMar>
          <w:left w:w="0" w:type="dxa"/>
          <w:right w:w="0" w:type="dxa"/>
        </w:tblCellMar>
        <w:tblLook w:val="04A0" w:firstRow="1" w:lastRow="0" w:firstColumn="1" w:lastColumn="0" w:noHBand="0" w:noVBand="1"/>
      </w:tblPr>
      <w:tblGrid>
        <w:gridCol w:w="5416"/>
        <w:gridCol w:w="3610"/>
      </w:tblGrid>
      <w:tr w:rsidR="00A6450B" w:rsidRPr="00A6450B" w14:paraId="5240F37B" w14:textId="77777777" w:rsidTr="00A6450B">
        <w:tc>
          <w:tcPr>
            <w:tcW w:w="3000" w:type="pct"/>
            <w:hideMark/>
          </w:tcPr>
          <w:p w14:paraId="733ABC53" w14:textId="77777777" w:rsidR="00A6450B" w:rsidRPr="00A6450B" w:rsidRDefault="00A6450B" w:rsidP="00A6450B">
            <w:pPr>
              <w:spacing w:before="150" w:after="150" w:line="240" w:lineRule="auto"/>
              <w:rPr>
                <w:rFonts w:ascii="Times New Roman" w:eastAsia="Times New Roman" w:hAnsi="Times New Roman" w:cs="Times New Roman"/>
                <w:kern w:val="0"/>
                <w:lang w:eastAsia="ru-RU"/>
                <w14:ligatures w14:val="none"/>
              </w:rPr>
            </w:pPr>
            <w:bookmarkStart w:id="0" w:name="n278"/>
            <w:bookmarkStart w:id="1" w:name="n14"/>
            <w:bookmarkEnd w:id="0"/>
            <w:bookmarkEnd w:id="1"/>
            <w:r w:rsidRPr="00A6450B">
              <w:rPr>
                <w:rFonts w:ascii="Times New Roman" w:eastAsia="Times New Roman" w:hAnsi="Times New Roman" w:cs="Times New Roman"/>
                <w:b/>
                <w:bCs/>
                <w:kern w:val="0"/>
                <w:lang w:eastAsia="ru-RU"/>
                <w14:ligatures w14:val="none"/>
              </w:rPr>
              <w:br/>
            </w:r>
          </w:p>
        </w:tc>
        <w:tc>
          <w:tcPr>
            <w:tcW w:w="2000" w:type="pct"/>
            <w:hideMark/>
          </w:tcPr>
          <w:p w14:paraId="2F57B17E" w14:textId="77777777" w:rsidR="00A6450B" w:rsidRPr="00A6450B" w:rsidRDefault="00A6450B" w:rsidP="00A6450B">
            <w:pPr>
              <w:spacing w:before="150" w:after="150" w:line="240" w:lineRule="auto"/>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b/>
                <w:bCs/>
                <w:kern w:val="0"/>
                <w:lang w:eastAsia="ru-RU"/>
                <w14:ligatures w14:val="none"/>
              </w:rPr>
              <w:t>ЗАТВЕРДЖЕНО</w:t>
            </w:r>
            <w:r w:rsidRPr="00A6450B">
              <w:rPr>
                <w:rFonts w:ascii="Times New Roman" w:eastAsia="Times New Roman" w:hAnsi="Times New Roman" w:cs="Times New Roman"/>
                <w:kern w:val="0"/>
                <w:lang w:eastAsia="ru-RU"/>
                <w14:ligatures w14:val="none"/>
              </w:rPr>
              <w:br/>
            </w:r>
            <w:r w:rsidRPr="00A6450B">
              <w:rPr>
                <w:rFonts w:ascii="Times New Roman" w:eastAsia="Times New Roman" w:hAnsi="Times New Roman" w:cs="Times New Roman"/>
                <w:b/>
                <w:bCs/>
                <w:kern w:val="0"/>
                <w:lang w:eastAsia="ru-RU"/>
                <w14:ligatures w14:val="none"/>
              </w:rPr>
              <w:t>Наказ</w:t>
            </w:r>
            <w:r w:rsidRPr="00A6450B">
              <w:rPr>
                <w:rFonts w:ascii="Times New Roman" w:eastAsia="Times New Roman" w:hAnsi="Times New Roman" w:cs="Times New Roman"/>
                <w:kern w:val="0"/>
                <w:lang w:eastAsia="ru-RU"/>
                <w14:ligatures w14:val="none"/>
              </w:rPr>
              <w:br/>
            </w:r>
            <w:r w:rsidRPr="00A6450B">
              <w:rPr>
                <w:rFonts w:ascii="Times New Roman" w:eastAsia="Times New Roman" w:hAnsi="Times New Roman" w:cs="Times New Roman"/>
                <w:b/>
                <w:bCs/>
                <w:kern w:val="0"/>
                <w:lang w:eastAsia="ru-RU"/>
                <w14:ligatures w14:val="none"/>
              </w:rPr>
              <w:t>Міністерства фінансів України</w:t>
            </w:r>
            <w:r w:rsidRPr="00A6450B">
              <w:rPr>
                <w:rFonts w:ascii="Times New Roman" w:eastAsia="Times New Roman" w:hAnsi="Times New Roman" w:cs="Times New Roman"/>
                <w:kern w:val="0"/>
                <w:lang w:eastAsia="ru-RU"/>
                <w14:ligatures w14:val="none"/>
              </w:rPr>
              <w:br/>
            </w:r>
            <w:r w:rsidRPr="00A6450B">
              <w:rPr>
                <w:rFonts w:ascii="Times New Roman" w:eastAsia="Times New Roman" w:hAnsi="Times New Roman" w:cs="Times New Roman"/>
                <w:b/>
                <w:bCs/>
                <w:kern w:val="0"/>
                <w:lang w:eastAsia="ru-RU"/>
                <w14:ligatures w14:val="none"/>
              </w:rPr>
              <w:t>02.06.2015  № 524</w:t>
            </w:r>
            <w:r w:rsidRPr="00A6450B">
              <w:rPr>
                <w:rFonts w:ascii="Times New Roman" w:eastAsia="Times New Roman" w:hAnsi="Times New Roman" w:cs="Times New Roman"/>
                <w:kern w:val="0"/>
                <w:lang w:eastAsia="ru-RU"/>
                <w14:ligatures w14:val="none"/>
              </w:rPr>
              <w:br/>
            </w:r>
            <w:r w:rsidRPr="00A6450B">
              <w:rPr>
                <w:rFonts w:ascii="Times New Roman" w:eastAsia="Times New Roman" w:hAnsi="Times New Roman" w:cs="Times New Roman"/>
                <w:b/>
                <w:bCs/>
                <w:kern w:val="0"/>
                <w:lang w:eastAsia="ru-RU"/>
                <w14:ligatures w14:val="none"/>
              </w:rPr>
              <w:t>(у редакції наказу Міністерства</w:t>
            </w:r>
            <w:r w:rsidRPr="00A6450B">
              <w:rPr>
                <w:rFonts w:ascii="Times New Roman" w:eastAsia="Times New Roman" w:hAnsi="Times New Roman" w:cs="Times New Roman"/>
                <w:kern w:val="0"/>
                <w:lang w:eastAsia="ru-RU"/>
                <w14:ligatures w14:val="none"/>
              </w:rPr>
              <w:br/>
            </w:r>
            <w:r w:rsidRPr="00A6450B">
              <w:rPr>
                <w:rFonts w:ascii="Times New Roman" w:eastAsia="Times New Roman" w:hAnsi="Times New Roman" w:cs="Times New Roman"/>
                <w:b/>
                <w:bCs/>
                <w:kern w:val="0"/>
                <w:lang w:eastAsia="ru-RU"/>
                <w14:ligatures w14:val="none"/>
              </w:rPr>
              <w:t>фінансів України</w:t>
            </w:r>
            <w:r w:rsidRPr="00A6450B">
              <w:rPr>
                <w:rFonts w:ascii="Times New Roman" w:eastAsia="Times New Roman" w:hAnsi="Times New Roman" w:cs="Times New Roman"/>
                <w:kern w:val="0"/>
                <w:lang w:eastAsia="ru-RU"/>
                <w14:ligatures w14:val="none"/>
              </w:rPr>
              <w:br/>
            </w:r>
            <w:r w:rsidRPr="00A6450B">
              <w:rPr>
                <w:rFonts w:ascii="Times New Roman" w:eastAsia="Times New Roman" w:hAnsi="Times New Roman" w:cs="Times New Roman"/>
                <w:b/>
                <w:bCs/>
                <w:kern w:val="0"/>
                <w:lang w:eastAsia="ru-RU"/>
                <w14:ligatures w14:val="none"/>
              </w:rPr>
              <w:t>від 07 вересня 2020 року </w:t>
            </w:r>
            <w:hyperlink r:id="rId4" w:anchor="n2107" w:tgtFrame="_blank" w:history="1">
              <w:r w:rsidRPr="00A6450B">
                <w:rPr>
                  <w:rFonts w:ascii="Times New Roman" w:eastAsia="Times New Roman" w:hAnsi="Times New Roman" w:cs="Times New Roman"/>
                  <w:b/>
                  <w:bCs/>
                  <w:color w:val="000099"/>
                  <w:kern w:val="0"/>
                  <w:u w:val="single"/>
                  <w:lang w:eastAsia="ru-RU"/>
                  <w14:ligatures w14:val="none"/>
                </w:rPr>
                <w:t>№ 548</w:t>
              </w:r>
            </w:hyperlink>
            <w:r w:rsidRPr="00A6450B">
              <w:rPr>
                <w:rFonts w:ascii="Times New Roman" w:eastAsia="Times New Roman" w:hAnsi="Times New Roman" w:cs="Times New Roman"/>
                <w:b/>
                <w:bCs/>
                <w:kern w:val="0"/>
                <w:lang w:eastAsia="ru-RU"/>
                <w14:ligatures w14:val="none"/>
              </w:rPr>
              <w:t>)</w:t>
            </w:r>
          </w:p>
        </w:tc>
      </w:tr>
      <w:tr w:rsidR="00A6450B" w:rsidRPr="00A6450B" w14:paraId="1383B57D" w14:textId="77777777" w:rsidTr="00A6450B">
        <w:tc>
          <w:tcPr>
            <w:tcW w:w="3000" w:type="pct"/>
            <w:hideMark/>
          </w:tcPr>
          <w:p w14:paraId="20C9A52E" w14:textId="77777777" w:rsidR="00A6450B" w:rsidRPr="00A6450B" w:rsidRDefault="00A6450B" w:rsidP="00A6450B">
            <w:pPr>
              <w:spacing w:before="150" w:after="150" w:line="240" w:lineRule="auto"/>
              <w:rPr>
                <w:rFonts w:ascii="Times New Roman" w:eastAsia="Times New Roman" w:hAnsi="Times New Roman" w:cs="Times New Roman"/>
                <w:kern w:val="0"/>
                <w:lang w:eastAsia="ru-RU"/>
                <w14:ligatures w14:val="none"/>
              </w:rPr>
            </w:pPr>
            <w:bookmarkStart w:id="2" w:name="n15"/>
            <w:bookmarkEnd w:id="2"/>
            <w:r w:rsidRPr="00A6450B">
              <w:rPr>
                <w:rFonts w:ascii="Times New Roman" w:eastAsia="Times New Roman" w:hAnsi="Times New Roman" w:cs="Times New Roman"/>
                <w:b/>
                <w:bCs/>
                <w:kern w:val="0"/>
                <w:lang w:eastAsia="ru-RU"/>
                <w14:ligatures w14:val="none"/>
              </w:rPr>
              <w:br/>
            </w:r>
          </w:p>
        </w:tc>
        <w:tc>
          <w:tcPr>
            <w:tcW w:w="2000" w:type="pct"/>
            <w:hideMark/>
          </w:tcPr>
          <w:p w14:paraId="72D293F9" w14:textId="77777777" w:rsidR="00A6450B" w:rsidRPr="00A6450B" w:rsidRDefault="00A6450B" w:rsidP="00A6450B">
            <w:pPr>
              <w:spacing w:before="150" w:after="150" w:line="240" w:lineRule="auto"/>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b/>
                <w:bCs/>
                <w:kern w:val="0"/>
                <w:lang w:eastAsia="ru-RU"/>
                <w14:ligatures w14:val="none"/>
              </w:rPr>
              <w:t>Зареєстровано в Міністерстві</w:t>
            </w:r>
            <w:r w:rsidRPr="00A6450B">
              <w:rPr>
                <w:rFonts w:ascii="Times New Roman" w:eastAsia="Times New Roman" w:hAnsi="Times New Roman" w:cs="Times New Roman"/>
                <w:kern w:val="0"/>
                <w:lang w:eastAsia="ru-RU"/>
                <w14:ligatures w14:val="none"/>
              </w:rPr>
              <w:br/>
            </w:r>
            <w:r w:rsidRPr="00A6450B">
              <w:rPr>
                <w:rFonts w:ascii="Times New Roman" w:eastAsia="Times New Roman" w:hAnsi="Times New Roman" w:cs="Times New Roman"/>
                <w:b/>
                <w:bCs/>
                <w:kern w:val="0"/>
                <w:lang w:eastAsia="ru-RU"/>
                <w14:ligatures w14:val="none"/>
              </w:rPr>
              <w:t>юстиції України</w:t>
            </w:r>
            <w:r w:rsidRPr="00A6450B">
              <w:rPr>
                <w:rFonts w:ascii="Times New Roman" w:eastAsia="Times New Roman" w:hAnsi="Times New Roman" w:cs="Times New Roman"/>
                <w:kern w:val="0"/>
                <w:lang w:eastAsia="ru-RU"/>
                <w14:ligatures w14:val="none"/>
              </w:rPr>
              <w:br/>
            </w:r>
            <w:r w:rsidRPr="00A6450B">
              <w:rPr>
                <w:rFonts w:ascii="Times New Roman" w:eastAsia="Times New Roman" w:hAnsi="Times New Roman" w:cs="Times New Roman"/>
                <w:b/>
                <w:bCs/>
                <w:kern w:val="0"/>
                <w:lang w:eastAsia="ru-RU"/>
                <w14:ligatures w14:val="none"/>
              </w:rPr>
              <w:t>24 червня 2015 р.</w:t>
            </w:r>
            <w:r w:rsidRPr="00A6450B">
              <w:rPr>
                <w:rFonts w:ascii="Times New Roman" w:eastAsia="Times New Roman" w:hAnsi="Times New Roman" w:cs="Times New Roman"/>
                <w:kern w:val="0"/>
                <w:lang w:eastAsia="ru-RU"/>
                <w14:ligatures w14:val="none"/>
              </w:rPr>
              <w:br/>
            </w:r>
            <w:r w:rsidRPr="00A6450B">
              <w:rPr>
                <w:rFonts w:ascii="Times New Roman" w:eastAsia="Times New Roman" w:hAnsi="Times New Roman" w:cs="Times New Roman"/>
                <w:b/>
                <w:bCs/>
                <w:kern w:val="0"/>
                <w:lang w:eastAsia="ru-RU"/>
                <w14:ligatures w14:val="none"/>
              </w:rPr>
              <w:t>за № 751/27196</w:t>
            </w:r>
          </w:p>
        </w:tc>
      </w:tr>
    </w:tbl>
    <w:p w14:paraId="3ED643D1" w14:textId="77777777" w:rsidR="00A6450B" w:rsidRPr="00A6450B" w:rsidRDefault="00A6450B" w:rsidP="00A6450B">
      <w:pPr>
        <w:spacing w:before="300" w:after="450" w:line="240" w:lineRule="auto"/>
        <w:ind w:left="450" w:right="450"/>
        <w:jc w:val="center"/>
        <w:rPr>
          <w:rFonts w:ascii="Times New Roman" w:eastAsia="Times New Roman" w:hAnsi="Times New Roman" w:cs="Times New Roman"/>
          <w:color w:val="333333"/>
          <w:kern w:val="0"/>
          <w:lang w:eastAsia="ru-RU"/>
          <w14:ligatures w14:val="none"/>
        </w:rPr>
      </w:pPr>
      <w:bookmarkStart w:id="3" w:name="n16"/>
      <w:bookmarkEnd w:id="3"/>
      <w:r w:rsidRPr="00A6450B">
        <w:rPr>
          <w:rFonts w:ascii="Times New Roman" w:eastAsia="Times New Roman" w:hAnsi="Times New Roman" w:cs="Times New Roman"/>
          <w:b/>
          <w:bCs/>
          <w:color w:val="333333"/>
          <w:kern w:val="0"/>
          <w:sz w:val="32"/>
          <w:szCs w:val="32"/>
          <w:lang w:eastAsia="ru-RU"/>
          <w14:ligatures w14:val="none"/>
        </w:rPr>
        <w:t>ПОРЯДОК </w:t>
      </w:r>
      <w:r w:rsidRPr="00A6450B">
        <w:rPr>
          <w:rFonts w:ascii="Times New Roman" w:eastAsia="Times New Roman" w:hAnsi="Times New Roman" w:cs="Times New Roman"/>
          <w:color w:val="333333"/>
          <w:kern w:val="0"/>
          <w:lang w:eastAsia="ru-RU"/>
          <w14:ligatures w14:val="none"/>
        </w:rPr>
        <w:br/>
      </w:r>
      <w:r w:rsidRPr="00A6450B">
        <w:rPr>
          <w:rFonts w:ascii="Times New Roman" w:eastAsia="Times New Roman" w:hAnsi="Times New Roman" w:cs="Times New Roman"/>
          <w:b/>
          <w:bCs/>
          <w:color w:val="333333"/>
          <w:kern w:val="0"/>
          <w:sz w:val="32"/>
          <w:szCs w:val="32"/>
          <w:lang w:eastAsia="ru-RU"/>
          <w14:ligatures w14:val="none"/>
        </w:rPr>
        <w:t>формування плану-графіка проведення документальних планових перевірок платників податків</w:t>
      </w:r>
    </w:p>
    <w:p w14:paraId="3CF486BD" w14:textId="77777777" w:rsidR="00A6450B" w:rsidRPr="00A6450B" w:rsidRDefault="00A6450B" w:rsidP="00A6450B">
      <w:pPr>
        <w:spacing w:before="150" w:after="150" w:line="240" w:lineRule="auto"/>
        <w:ind w:left="450" w:right="450"/>
        <w:jc w:val="center"/>
        <w:rPr>
          <w:rFonts w:ascii="Times New Roman" w:eastAsia="Times New Roman" w:hAnsi="Times New Roman" w:cs="Times New Roman"/>
          <w:color w:val="333333"/>
          <w:kern w:val="0"/>
          <w:lang w:eastAsia="ru-RU"/>
          <w14:ligatures w14:val="none"/>
        </w:rPr>
      </w:pPr>
      <w:bookmarkStart w:id="4" w:name="n552"/>
      <w:bookmarkEnd w:id="4"/>
      <w:r w:rsidRPr="00A6450B">
        <w:rPr>
          <w:rFonts w:ascii="Times New Roman" w:eastAsia="Times New Roman" w:hAnsi="Times New Roman" w:cs="Times New Roman"/>
          <w:b/>
          <w:bCs/>
          <w:color w:val="333333"/>
          <w:kern w:val="0"/>
          <w:sz w:val="28"/>
          <w:szCs w:val="28"/>
          <w:lang w:eastAsia="ru-RU"/>
          <w14:ligatures w14:val="none"/>
        </w:rPr>
        <w:t>І. Загальні положення</w:t>
      </w:r>
    </w:p>
    <w:p w14:paraId="0BE1C406"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5" w:name="n855"/>
      <w:bookmarkEnd w:id="5"/>
      <w:r w:rsidRPr="00A6450B">
        <w:rPr>
          <w:rFonts w:ascii="Times New Roman" w:eastAsia="Times New Roman" w:hAnsi="Times New Roman" w:cs="Times New Roman"/>
          <w:color w:val="333333"/>
          <w:kern w:val="0"/>
          <w:lang w:eastAsia="ru-RU"/>
          <w14:ligatures w14:val="none"/>
        </w:rPr>
        <w:t>1. Цей Порядок розроблений з метою забезпечення єдиного підходу до формування плану-графіка проведення документальних планових перевірок платників податків (далі - план-графік).</w:t>
      </w:r>
    </w:p>
    <w:p w14:paraId="6F29D8F8"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6" w:name="n856"/>
      <w:bookmarkEnd w:id="6"/>
      <w:r w:rsidRPr="00A6450B">
        <w:rPr>
          <w:rFonts w:ascii="Times New Roman" w:eastAsia="Times New Roman" w:hAnsi="Times New Roman" w:cs="Times New Roman"/>
          <w:color w:val="333333"/>
          <w:kern w:val="0"/>
          <w:lang w:eastAsia="ru-RU"/>
          <w14:ligatures w14:val="none"/>
        </w:rPr>
        <w:t>Річний план-графік складається відповідно до вимог </w:t>
      </w:r>
      <w:hyperlink r:id="rId5" w:anchor="n1773" w:tgtFrame="_blank" w:history="1">
        <w:r w:rsidRPr="00A6450B">
          <w:rPr>
            <w:rFonts w:ascii="Times New Roman" w:eastAsia="Times New Roman" w:hAnsi="Times New Roman" w:cs="Times New Roman"/>
            <w:color w:val="000099"/>
            <w:kern w:val="0"/>
            <w:u w:val="single"/>
            <w:lang w:eastAsia="ru-RU"/>
            <w14:ligatures w14:val="none"/>
          </w:rPr>
          <w:t>статті 77</w:t>
        </w:r>
      </w:hyperlink>
      <w:r w:rsidRPr="00A6450B">
        <w:rPr>
          <w:rFonts w:ascii="Times New Roman" w:eastAsia="Times New Roman" w:hAnsi="Times New Roman" w:cs="Times New Roman"/>
          <w:color w:val="333333"/>
          <w:kern w:val="0"/>
          <w:lang w:eastAsia="ru-RU"/>
          <w14:ligatures w14:val="none"/>
        </w:rPr>
        <w:t> розділу II Податкового кодексу України (далі - Кодекс).</w:t>
      </w:r>
    </w:p>
    <w:p w14:paraId="3375842D"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7" w:name="n857"/>
      <w:bookmarkEnd w:id="7"/>
      <w:r w:rsidRPr="00A6450B">
        <w:rPr>
          <w:rFonts w:ascii="Times New Roman" w:eastAsia="Times New Roman" w:hAnsi="Times New Roman" w:cs="Times New Roman"/>
          <w:color w:val="333333"/>
          <w:kern w:val="0"/>
          <w:lang w:eastAsia="ru-RU"/>
          <w14:ligatures w14:val="none"/>
        </w:rPr>
        <w:t>План-графік документальних планових перевірок на поточний рік оприлюднюється на офіційному вебсайті центрального органу виконавчої влади, що реалізує державну податкову політику, до 25 грудня року, що передує року, в якому будуть проводитися такі документальні планові перевірки. Оновлення річного плану-графіка здійснюється у разі його коригування.</w:t>
      </w:r>
    </w:p>
    <w:p w14:paraId="3E5C8358"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8" w:name="n858"/>
      <w:bookmarkEnd w:id="8"/>
      <w:r w:rsidRPr="00A6450B">
        <w:rPr>
          <w:rFonts w:ascii="Times New Roman" w:eastAsia="Times New Roman" w:hAnsi="Times New Roman" w:cs="Times New Roman"/>
          <w:color w:val="333333"/>
          <w:kern w:val="0"/>
          <w:lang w:eastAsia="ru-RU"/>
          <w14:ligatures w14:val="none"/>
        </w:rPr>
        <w:t>Внесення змін до плану-графіка проведення документальних планових перевірок на поточний рік допускається не частіше одного разу у першому та одного разу у другому кварталах такого року, крім випадків, коли зміни пов’язані із змінами найменування платника податків, що вже був включений до плану-графіка, та/або виправлення технічних помилок.</w:t>
      </w:r>
    </w:p>
    <w:p w14:paraId="7E27AE5E"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9" w:name="n859"/>
      <w:bookmarkEnd w:id="9"/>
      <w:r w:rsidRPr="00A6450B">
        <w:rPr>
          <w:rFonts w:ascii="Times New Roman" w:eastAsia="Times New Roman" w:hAnsi="Times New Roman" w:cs="Times New Roman"/>
          <w:color w:val="333333"/>
          <w:kern w:val="0"/>
          <w:lang w:eastAsia="ru-RU"/>
          <w14:ligatures w14:val="none"/>
        </w:rPr>
        <w:t>Документальна перевірка платника податків, який був включений до плану-графіка проведення документальних планових перевірок на поточний рік внаслідок внесення змін у такому році (інших, ніж зміни найменування платника податків, що вже був включений до плану-графіка, та/або виправлення технічних помилок), може бути розпочата не раніше ніж 1 липня поточного року у разі внесення змін до плану-графіка проведення документальних перевірок на поточний рік у першому кварталі такого року, і не раніше ніж 1 жовтня поточного року у разі внесення змін до плану-графіка проведення документальних перевірок на поточний рік у другому кварталі такого року.</w:t>
      </w:r>
    </w:p>
    <w:p w14:paraId="53593F76"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0" w:name="n860"/>
      <w:bookmarkEnd w:id="10"/>
      <w:r w:rsidRPr="00A6450B">
        <w:rPr>
          <w:rFonts w:ascii="Times New Roman" w:eastAsia="Times New Roman" w:hAnsi="Times New Roman" w:cs="Times New Roman"/>
          <w:color w:val="333333"/>
          <w:kern w:val="0"/>
          <w:lang w:eastAsia="ru-RU"/>
          <w14:ligatures w14:val="none"/>
        </w:rPr>
        <w:lastRenderedPageBreak/>
        <w:t>Оновлений план-графік оприлюднюється на офіційному вебсайті центрального органу виконавчої влади, що реалізує державну податкову політику, до 30 числа останнього місяця кварталу (у випадках змін найменування платника податків, що вже був включений до плану-графіка, та/або виправлення технічних помилок - до 30 числа місяця, що передує місяцю, в якому будуть проводитися такі документальні планові перевірки).</w:t>
      </w:r>
    </w:p>
    <w:p w14:paraId="21E480B0"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1" w:name="n861"/>
      <w:bookmarkEnd w:id="11"/>
      <w:r w:rsidRPr="00A6450B">
        <w:rPr>
          <w:rFonts w:ascii="Times New Roman" w:eastAsia="Times New Roman" w:hAnsi="Times New Roman" w:cs="Times New Roman"/>
          <w:color w:val="333333"/>
          <w:kern w:val="0"/>
          <w:lang w:eastAsia="ru-RU"/>
          <w14:ligatures w14:val="none"/>
        </w:rPr>
        <w:t>У цьому Порядку поняття «кластерні об’єднання» означає групу суб’єктів господарювання - юридичних осіб з централізованим управлінням виробничою, фінансовою та комерційною діяльністю.</w:t>
      </w:r>
    </w:p>
    <w:p w14:paraId="5629AC37"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2" w:name="n862"/>
      <w:bookmarkEnd w:id="12"/>
      <w:r w:rsidRPr="00A6450B">
        <w:rPr>
          <w:rFonts w:ascii="Times New Roman" w:eastAsia="Times New Roman" w:hAnsi="Times New Roman" w:cs="Times New Roman"/>
          <w:color w:val="333333"/>
          <w:kern w:val="0"/>
          <w:lang w:eastAsia="ru-RU"/>
          <w14:ligatures w14:val="none"/>
        </w:rPr>
        <w:t>2. Формування (коригування) планів-графіків територіальних органів Державної податкової служби України (далі - територіальні органи ДПС) здійснюється у порядку, встановленому у розділах III-V цього Порядку.</w:t>
      </w:r>
    </w:p>
    <w:p w14:paraId="17C09060"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3" w:name="n863"/>
      <w:bookmarkEnd w:id="13"/>
      <w:r w:rsidRPr="00A6450B">
        <w:rPr>
          <w:rFonts w:ascii="Times New Roman" w:eastAsia="Times New Roman" w:hAnsi="Times New Roman" w:cs="Times New Roman"/>
          <w:color w:val="333333"/>
          <w:kern w:val="0"/>
          <w:lang w:eastAsia="ru-RU"/>
          <w14:ligatures w14:val="none"/>
        </w:rPr>
        <w:t>Формування (коригування) планів-графіків здійснюється засобами інформаційно-телекомунікаційних систем контролюючих органів.</w:t>
      </w:r>
      <w:bookmarkStart w:id="14" w:name="_GoBack"/>
      <w:bookmarkEnd w:id="14"/>
    </w:p>
    <w:p w14:paraId="516F76E9"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5" w:name="n864"/>
      <w:bookmarkEnd w:id="15"/>
      <w:r w:rsidRPr="00A6450B">
        <w:rPr>
          <w:rFonts w:ascii="Times New Roman" w:eastAsia="Times New Roman" w:hAnsi="Times New Roman" w:cs="Times New Roman"/>
          <w:color w:val="333333"/>
          <w:kern w:val="0"/>
          <w:lang w:eastAsia="ru-RU"/>
          <w14:ligatures w14:val="none"/>
        </w:rPr>
        <w:t>3. Проекти річних планів-графіків складаються територіальними органами ДПС не пізніше 01 грудня року, що передує року, в якому будуть проводитися такі документальні планові перевірки засобами інформаційно-телекомунікаційних систем контролюючих органів.</w:t>
      </w:r>
    </w:p>
    <w:p w14:paraId="3C319FC9"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6" w:name="n865"/>
      <w:bookmarkEnd w:id="16"/>
      <w:r w:rsidRPr="00A6450B">
        <w:rPr>
          <w:rFonts w:ascii="Times New Roman" w:eastAsia="Times New Roman" w:hAnsi="Times New Roman" w:cs="Times New Roman"/>
          <w:color w:val="333333"/>
          <w:kern w:val="0"/>
          <w:lang w:eastAsia="ru-RU"/>
          <w14:ligatures w14:val="none"/>
        </w:rPr>
        <w:t>Проекти коригування планів-графіків у разі здійснення такого коригування формуються територіальними органами ДПС не пізніше 15 числа останнього місяця першого або другого кварталу засобами інформаційно-телекомунікаційних систем контролюючих органів.</w:t>
      </w:r>
    </w:p>
    <w:p w14:paraId="56CBC560"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7" w:name="n866"/>
      <w:bookmarkEnd w:id="17"/>
      <w:r w:rsidRPr="00A6450B">
        <w:rPr>
          <w:rFonts w:ascii="Times New Roman" w:eastAsia="Times New Roman" w:hAnsi="Times New Roman" w:cs="Times New Roman"/>
          <w:color w:val="333333"/>
          <w:kern w:val="0"/>
          <w:lang w:eastAsia="ru-RU"/>
          <w14:ligatures w14:val="none"/>
        </w:rPr>
        <w:t>У випадку, коли зміни пов’язані із змінами найменування (прізвища, імені, по батькові (за наявності)) платника податків та/або виправленням технічних помилок, проекти коригування планів-графіків формуються територіальними органами ДПС не пізніше 15 числа місяця, що передує місяцю, в якому будуть проводитися такі документальні планові перевірки.</w:t>
      </w:r>
    </w:p>
    <w:p w14:paraId="625FC82B"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8" w:name="n867"/>
      <w:bookmarkEnd w:id="18"/>
      <w:r w:rsidRPr="00A6450B">
        <w:rPr>
          <w:rFonts w:ascii="Times New Roman" w:eastAsia="Times New Roman" w:hAnsi="Times New Roman" w:cs="Times New Roman"/>
          <w:color w:val="333333"/>
          <w:kern w:val="0"/>
          <w:lang w:eastAsia="ru-RU"/>
          <w14:ligatures w14:val="none"/>
        </w:rPr>
        <w:t>Разом з проектом плану-графіка (коригування плану-графіка) формуються інформаційно-аналітичні довідки за кожним платником податків з використанням інформаційно-телекомунікаційних систем контролюючих органів.</w:t>
      </w:r>
    </w:p>
    <w:p w14:paraId="0F8F00BA"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9" w:name="n868"/>
      <w:bookmarkEnd w:id="19"/>
      <w:r w:rsidRPr="00A6450B">
        <w:rPr>
          <w:rFonts w:ascii="Times New Roman" w:eastAsia="Times New Roman" w:hAnsi="Times New Roman" w:cs="Times New Roman"/>
          <w:color w:val="333333"/>
          <w:kern w:val="0"/>
          <w:lang w:eastAsia="ru-RU"/>
          <w14:ligatures w14:val="none"/>
        </w:rPr>
        <w:t>4. При відборі платника податків до плану-графіка відповідно до вимог </w:t>
      </w:r>
      <w:hyperlink r:id="rId6" w:anchor="n1773" w:tgtFrame="_blank" w:history="1">
        <w:r w:rsidRPr="00A6450B">
          <w:rPr>
            <w:rFonts w:ascii="Times New Roman" w:eastAsia="Times New Roman" w:hAnsi="Times New Roman" w:cs="Times New Roman"/>
            <w:color w:val="000099"/>
            <w:kern w:val="0"/>
            <w:u w:val="single"/>
            <w:lang w:eastAsia="ru-RU"/>
            <w14:ligatures w14:val="none"/>
          </w:rPr>
          <w:t>статті 77</w:t>
        </w:r>
      </w:hyperlink>
      <w:r w:rsidRPr="00A6450B">
        <w:rPr>
          <w:rFonts w:ascii="Times New Roman" w:eastAsia="Times New Roman" w:hAnsi="Times New Roman" w:cs="Times New Roman"/>
          <w:color w:val="333333"/>
          <w:kern w:val="0"/>
          <w:lang w:eastAsia="ru-RU"/>
          <w14:ligatures w14:val="none"/>
        </w:rPr>
        <w:t> розділу II Кодексу необхідним є врахування також вимог </w:t>
      </w:r>
      <w:hyperlink r:id="rId7" w:anchor="n2288" w:tgtFrame="_blank" w:history="1">
        <w:r w:rsidRPr="00A6450B">
          <w:rPr>
            <w:rFonts w:ascii="Times New Roman" w:eastAsia="Times New Roman" w:hAnsi="Times New Roman" w:cs="Times New Roman"/>
            <w:color w:val="000099"/>
            <w:kern w:val="0"/>
            <w:u w:val="single"/>
            <w:lang w:eastAsia="ru-RU"/>
            <w14:ligatures w14:val="none"/>
          </w:rPr>
          <w:t>пункту 102.1</w:t>
        </w:r>
      </w:hyperlink>
      <w:r w:rsidRPr="00A6450B">
        <w:rPr>
          <w:rFonts w:ascii="Times New Roman" w:eastAsia="Times New Roman" w:hAnsi="Times New Roman" w:cs="Times New Roman"/>
          <w:color w:val="333333"/>
          <w:kern w:val="0"/>
          <w:lang w:eastAsia="ru-RU"/>
          <w14:ligatures w14:val="none"/>
        </w:rPr>
        <w:t>статті 102 розділу II Кодексу в частині граничних термінів проведення перевірки та визначення податкового зобов’язання платника податків, вимог </w:t>
      </w:r>
      <w:hyperlink r:id="rId8" w:anchor="n1780" w:tgtFrame="_blank" w:history="1">
        <w:r w:rsidRPr="00A6450B">
          <w:rPr>
            <w:rFonts w:ascii="Times New Roman" w:eastAsia="Times New Roman" w:hAnsi="Times New Roman" w:cs="Times New Roman"/>
            <w:color w:val="000099"/>
            <w:kern w:val="0"/>
            <w:u w:val="single"/>
            <w:lang w:eastAsia="ru-RU"/>
            <w14:ligatures w14:val="none"/>
          </w:rPr>
          <w:t>пункту 77.3</w:t>
        </w:r>
      </w:hyperlink>
      <w:r w:rsidRPr="00A6450B">
        <w:rPr>
          <w:rFonts w:ascii="Times New Roman" w:eastAsia="Times New Roman" w:hAnsi="Times New Roman" w:cs="Times New Roman"/>
          <w:color w:val="333333"/>
          <w:kern w:val="0"/>
          <w:lang w:eastAsia="ru-RU"/>
          <w14:ligatures w14:val="none"/>
        </w:rPr>
        <w:t> статті 77 розділу II Кодексу в частині заборони проведення документальної планової перевірки за окремими видами зобов’язань перед бюджетами, крім правильності обчислення, повноти і своєчасності сплати податків, зборів та єдиного внеску при виплаті (нарахуванні) доходів фізичним особам, податку на доходи фізичних осіб та зобов’язань за бюджетними позиками і кредитами, що гарантовані бюджетними коштами.</w:t>
      </w:r>
    </w:p>
    <w:p w14:paraId="7C1B90A5"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0" w:name="n869"/>
      <w:bookmarkEnd w:id="20"/>
      <w:r w:rsidRPr="00A6450B">
        <w:rPr>
          <w:rFonts w:ascii="Times New Roman" w:eastAsia="Times New Roman" w:hAnsi="Times New Roman" w:cs="Times New Roman"/>
          <w:color w:val="333333"/>
          <w:kern w:val="0"/>
          <w:lang w:eastAsia="ru-RU"/>
          <w14:ligatures w14:val="none"/>
        </w:rPr>
        <w:t>Відповідно до частини шістнадцятої </w:t>
      </w:r>
      <w:hyperlink r:id="rId9" w:anchor="n633" w:tgtFrame="_blank" w:history="1">
        <w:r w:rsidRPr="00A6450B">
          <w:rPr>
            <w:rFonts w:ascii="Times New Roman" w:eastAsia="Times New Roman" w:hAnsi="Times New Roman" w:cs="Times New Roman"/>
            <w:color w:val="000099"/>
            <w:kern w:val="0"/>
            <w:u w:val="single"/>
            <w:lang w:eastAsia="ru-RU"/>
            <w14:ligatures w14:val="none"/>
          </w:rPr>
          <w:t>статті 25</w:t>
        </w:r>
      </w:hyperlink>
      <w:r w:rsidRPr="00A6450B">
        <w:rPr>
          <w:rFonts w:ascii="Times New Roman" w:eastAsia="Times New Roman" w:hAnsi="Times New Roman" w:cs="Times New Roman"/>
          <w:color w:val="333333"/>
          <w:kern w:val="0"/>
          <w:lang w:eastAsia="ru-RU"/>
          <w14:ligatures w14:val="none"/>
        </w:rPr>
        <w:t> Закону України «Про збір та облік єдиного внеску на загальнообов’язкове державне соціальне страхування» строк давності щодо нарахування, застосування та стягнення сум недоїмки, штрафів та нарахованої пені не застосовується.</w:t>
      </w:r>
    </w:p>
    <w:p w14:paraId="4889092B"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1" w:name="n870"/>
      <w:bookmarkEnd w:id="21"/>
      <w:r w:rsidRPr="00A6450B">
        <w:rPr>
          <w:rFonts w:ascii="Times New Roman" w:eastAsia="Times New Roman" w:hAnsi="Times New Roman" w:cs="Times New Roman"/>
          <w:color w:val="333333"/>
          <w:kern w:val="0"/>
          <w:lang w:eastAsia="ru-RU"/>
          <w14:ligatures w14:val="none"/>
        </w:rPr>
        <w:t xml:space="preserve">Документальною перевіркою в частині правильності обчислення, повноти і своєчасності сплати єдиного внеску на загальнообов’язкове державне соціальне </w:t>
      </w:r>
      <w:r w:rsidRPr="00A6450B">
        <w:rPr>
          <w:rFonts w:ascii="Times New Roman" w:eastAsia="Times New Roman" w:hAnsi="Times New Roman" w:cs="Times New Roman"/>
          <w:color w:val="333333"/>
          <w:kern w:val="0"/>
          <w:lang w:eastAsia="ru-RU"/>
          <w14:ligatures w14:val="none"/>
        </w:rPr>
        <w:lastRenderedPageBreak/>
        <w:t>страхування (далі - єдиний внесок) охоплюється період з 01 січня 2011 року або період, що настає за періодом, який перевірено попередньою перевіркою із зазначеного питання.</w:t>
      </w:r>
    </w:p>
    <w:p w14:paraId="4C31A0CB"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2" w:name="n871"/>
      <w:bookmarkEnd w:id="22"/>
      <w:r w:rsidRPr="00A6450B">
        <w:rPr>
          <w:rFonts w:ascii="Times New Roman" w:eastAsia="Times New Roman" w:hAnsi="Times New Roman" w:cs="Times New Roman"/>
          <w:color w:val="333333"/>
          <w:kern w:val="0"/>
          <w:lang w:eastAsia="ru-RU"/>
          <w14:ligatures w14:val="none"/>
        </w:rPr>
        <w:t>5. План-графік (коригування плану-графіка) складається з планів-графіків (коригувань планів-графіків) територіальних органів ДПС та затверджується Головою ДПС.</w:t>
      </w:r>
    </w:p>
    <w:p w14:paraId="26F27459" w14:textId="77777777" w:rsidR="00A6450B" w:rsidRPr="00A6450B" w:rsidRDefault="00A6450B" w:rsidP="00A6450B">
      <w:pPr>
        <w:spacing w:after="150" w:line="240" w:lineRule="auto"/>
        <w:jc w:val="center"/>
        <w:rPr>
          <w:rFonts w:ascii="Times New Roman" w:eastAsia="Times New Roman" w:hAnsi="Times New Roman" w:cs="Times New Roman"/>
          <w:i/>
          <w:iCs/>
          <w:color w:val="999999"/>
          <w:kern w:val="0"/>
          <w:lang w:eastAsia="ru-RU"/>
          <w14:ligatures w14:val="none"/>
        </w:rPr>
      </w:pPr>
      <w:bookmarkStart w:id="23" w:name="n1147"/>
      <w:bookmarkEnd w:id="23"/>
      <w:r w:rsidRPr="00A6450B">
        <w:rPr>
          <w:rFonts w:ascii="Times New Roman" w:eastAsia="Times New Roman" w:hAnsi="Times New Roman" w:cs="Times New Roman"/>
          <w:i/>
          <w:iCs/>
          <w:color w:val="999999"/>
          <w:kern w:val="0"/>
          <w:lang w:eastAsia="ru-RU"/>
          <w14:ligatures w14:val="none"/>
        </w:rPr>
        <w:t>{Абзац перший пункту 5 розділу I в редакції Наказу Міністерства фінансів </w:t>
      </w:r>
      <w:hyperlink r:id="rId10" w:anchor="n17" w:tgtFrame="_blank" w:history="1">
        <w:r w:rsidRPr="00A6450B">
          <w:rPr>
            <w:rFonts w:ascii="Times New Roman" w:eastAsia="Times New Roman" w:hAnsi="Times New Roman" w:cs="Times New Roman"/>
            <w:i/>
            <w:iCs/>
            <w:color w:val="666666"/>
            <w:kern w:val="0"/>
            <w:u w:val="single"/>
            <w:lang w:eastAsia="ru-RU"/>
            <w14:ligatures w14:val="none"/>
          </w:rPr>
          <w:t>№ 655 від 10.12.2021</w:t>
        </w:r>
      </w:hyperlink>
      <w:r w:rsidRPr="00A6450B">
        <w:rPr>
          <w:rFonts w:ascii="Times New Roman" w:eastAsia="Times New Roman" w:hAnsi="Times New Roman" w:cs="Times New Roman"/>
          <w:i/>
          <w:iCs/>
          <w:color w:val="999999"/>
          <w:kern w:val="0"/>
          <w:lang w:eastAsia="ru-RU"/>
          <w14:ligatures w14:val="none"/>
        </w:rPr>
        <w:t>}</w:t>
      </w:r>
    </w:p>
    <w:p w14:paraId="3E6643B0"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4" w:name="n872"/>
      <w:bookmarkEnd w:id="24"/>
      <w:r w:rsidRPr="00A6450B">
        <w:rPr>
          <w:rFonts w:ascii="Times New Roman" w:eastAsia="Times New Roman" w:hAnsi="Times New Roman" w:cs="Times New Roman"/>
          <w:color w:val="333333"/>
          <w:kern w:val="0"/>
          <w:lang w:eastAsia="ru-RU"/>
          <w14:ligatures w14:val="none"/>
        </w:rPr>
        <w:t>Після затвердження Головою ДПС плану-графіка (коригування плану-графіка) територіальними органами ДПС надаються підрозділу, до функцій якого входить організація роботи щодо формування плану-графіка, засобами автоматизованої інформаційної системи «Управління документами» плани-графіки (коригування планів-графіків) з відповідними додатками та обґрунтування підстав включення платника податків до плану-графіка (коригування плану-графіка).</w:t>
      </w:r>
    </w:p>
    <w:p w14:paraId="743F8A1B" w14:textId="77777777" w:rsidR="00A6450B" w:rsidRPr="00A6450B" w:rsidRDefault="00A6450B" w:rsidP="00A6450B">
      <w:pPr>
        <w:spacing w:after="150" w:line="240" w:lineRule="auto"/>
        <w:jc w:val="center"/>
        <w:rPr>
          <w:rFonts w:ascii="Times New Roman" w:eastAsia="Times New Roman" w:hAnsi="Times New Roman" w:cs="Times New Roman"/>
          <w:i/>
          <w:iCs/>
          <w:color w:val="999999"/>
          <w:kern w:val="0"/>
          <w:lang w:eastAsia="ru-RU"/>
          <w14:ligatures w14:val="none"/>
        </w:rPr>
      </w:pPr>
      <w:bookmarkStart w:id="25" w:name="n1149"/>
      <w:bookmarkEnd w:id="25"/>
      <w:r w:rsidRPr="00A6450B">
        <w:rPr>
          <w:rFonts w:ascii="Times New Roman" w:eastAsia="Times New Roman" w:hAnsi="Times New Roman" w:cs="Times New Roman"/>
          <w:i/>
          <w:iCs/>
          <w:color w:val="999999"/>
          <w:kern w:val="0"/>
          <w:lang w:eastAsia="ru-RU"/>
          <w14:ligatures w14:val="none"/>
        </w:rPr>
        <w:t>{Абзац другий пункту 5 розділу I із змінами, внесеними згідно з Наказом Міністерства фінансів </w:t>
      </w:r>
      <w:hyperlink r:id="rId11" w:anchor="n17" w:tgtFrame="_blank" w:history="1">
        <w:r w:rsidRPr="00A6450B">
          <w:rPr>
            <w:rFonts w:ascii="Times New Roman" w:eastAsia="Times New Roman" w:hAnsi="Times New Roman" w:cs="Times New Roman"/>
            <w:i/>
            <w:iCs/>
            <w:color w:val="666666"/>
            <w:kern w:val="0"/>
            <w:u w:val="single"/>
            <w:lang w:eastAsia="ru-RU"/>
            <w14:ligatures w14:val="none"/>
          </w:rPr>
          <w:t>№ 655 від 10.12.2021</w:t>
        </w:r>
      </w:hyperlink>
      <w:r w:rsidRPr="00A6450B">
        <w:rPr>
          <w:rFonts w:ascii="Times New Roman" w:eastAsia="Times New Roman" w:hAnsi="Times New Roman" w:cs="Times New Roman"/>
          <w:i/>
          <w:iCs/>
          <w:color w:val="999999"/>
          <w:kern w:val="0"/>
          <w:lang w:eastAsia="ru-RU"/>
          <w14:ligatures w14:val="none"/>
        </w:rPr>
        <w:t>}</w:t>
      </w:r>
    </w:p>
    <w:p w14:paraId="44A21F7A"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6" w:name="n873"/>
      <w:bookmarkEnd w:id="26"/>
      <w:r w:rsidRPr="00A6450B">
        <w:rPr>
          <w:rFonts w:ascii="Times New Roman" w:eastAsia="Times New Roman" w:hAnsi="Times New Roman" w:cs="Times New Roman"/>
          <w:color w:val="333333"/>
          <w:kern w:val="0"/>
          <w:lang w:eastAsia="ru-RU"/>
          <w14:ligatures w14:val="none"/>
        </w:rPr>
        <w:t>Затверджений план-графік є обов’язковим для виконання всіма підрозділами територіальних органів ДПС.</w:t>
      </w:r>
    </w:p>
    <w:p w14:paraId="1A9E53EE"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7" w:name="n874"/>
      <w:bookmarkEnd w:id="27"/>
      <w:r w:rsidRPr="00A6450B">
        <w:rPr>
          <w:rFonts w:ascii="Times New Roman" w:eastAsia="Times New Roman" w:hAnsi="Times New Roman" w:cs="Times New Roman"/>
          <w:color w:val="333333"/>
          <w:kern w:val="0"/>
          <w:lang w:eastAsia="ru-RU"/>
          <w14:ligatures w14:val="none"/>
        </w:rPr>
        <w:t>Належну якість формування плану-графіка та його коригування забезпечує територіальний орган ДПС, який сформував план-графік (коригування плану-графіка).</w:t>
      </w:r>
    </w:p>
    <w:p w14:paraId="47068550" w14:textId="77777777" w:rsidR="00A6450B" w:rsidRPr="00A6450B" w:rsidRDefault="00A6450B" w:rsidP="00A6450B">
      <w:pPr>
        <w:spacing w:before="150" w:after="150" w:line="240" w:lineRule="auto"/>
        <w:ind w:left="450" w:right="450"/>
        <w:jc w:val="center"/>
        <w:rPr>
          <w:rFonts w:ascii="Times New Roman" w:eastAsia="Times New Roman" w:hAnsi="Times New Roman" w:cs="Times New Roman"/>
          <w:color w:val="333333"/>
          <w:kern w:val="0"/>
          <w:lang w:eastAsia="ru-RU"/>
          <w14:ligatures w14:val="none"/>
        </w:rPr>
      </w:pPr>
      <w:bookmarkStart w:id="28" w:name="n875"/>
      <w:bookmarkEnd w:id="28"/>
      <w:r w:rsidRPr="00A6450B">
        <w:rPr>
          <w:rFonts w:ascii="Times New Roman" w:eastAsia="Times New Roman" w:hAnsi="Times New Roman" w:cs="Times New Roman"/>
          <w:b/>
          <w:bCs/>
          <w:color w:val="333333"/>
          <w:kern w:val="0"/>
          <w:sz w:val="28"/>
          <w:szCs w:val="28"/>
          <w:lang w:eastAsia="ru-RU"/>
          <w14:ligatures w14:val="none"/>
        </w:rPr>
        <w:t>II. Структура плану-графіка проведення документальних планових перевірок платників податків</w:t>
      </w:r>
    </w:p>
    <w:p w14:paraId="60351C36"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9" w:name="n876"/>
      <w:bookmarkEnd w:id="29"/>
      <w:r w:rsidRPr="00A6450B">
        <w:rPr>
          <w:rFonts w:ascii="Times New Roman" w:eastAsia="Times New Roman" w:hAnsi="Times New Roman" w:cs="Times New Roman"/>
          <w:color w:val="333333"/>
          <w:kern w:val="0"/>
          <w:lang w:eastAsia="ru-RU"/>
          <w14:ligatures w14:val="none"/>
        </w:rPr>
        <w:t>1. План-графік проведення документальних планових перевірок платників податків (додаток 1), коригування плану-графіка проведення документальних планових перевірок платників податків (додаток 2), структура плану-графіка проведення документальних планових перевірок платників податків (додаток 3) складається з чотирьох розділів:</w:t>
      </w:r>
    </w:p>
    <w:p w14:paraId="70882EC3"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0" w:name="n877"/>
      <w:bookmarkEnd w:id="30"/>
      <w:r w:rsidRPr="00A6450B">
        <w:rPr>
          <w:rFonts w:ascii="Times New Roman" w:eastAsia="Times New Roman" w:hAnsi="Times New Roman" w:cs="Times New Roman"/>
          <w:color w:val="333333"/>
          <w:kern w:val="0"/>
          <w:lang w:eastAsia="ru-RU"/>
          <w14:ligatures w14:val="none"/>
        </w:rPr>
        <w:t>розділ I. Документальні планові перевірки платників податків - юридичних осіб;</w:t>
      </w:r>
    </w:p>
    <w:p w14:paraId="3376E54D"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1" w:name="n878"/>
      <w:bookmarkEnd w:id="31"/>
      <w:r w:rsidRPr="00A6450B">
        <w:rPr>
          <w:rFonts w:ascii="Times New Roman" w:eastAsia="Times New Roman" w:hAnsi="Times New Roman" w:cs="Times New Roman"/>
          <w:color w:val="333333"/>
          <w:kern w:val="0"/>
          <w:lang w:eastAsia="ru-RU"/>
          <w14:ligatures w14:val="none"/>
        </w:rPr>
        <w:t>розділ II. Документальні планові перевірки фінансових установ, постійних представництв та представництв нерезидентів;</w:t>
      </w:r>
    </w:p>
    <w:p w14:paraId="73479B8D"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2" w:name="n879"/>
      <w:bookmarkEnd w:id="32"/>
      <w:r w:rsidRPr="00A6450B">
        <w:rPr>
          <w:rFonts w:ascii="Times New Roman" w:eastAsia="Times New Roman" w:hAnsi="Times New Roman" w:cs="Times New Roman"/>
          <w:color w:val="333333"/>
          <w:kern w:val="0"/>
          <w:lang w:eastAsia="ru-RU"/>
          <w14:ligatures w14:val="none"/>
        </w:rPr>
        <w:t>розділ III. Документальні планові перевірки платників податків - фізичних осіб;</w:t>
      </w:r>
    </w:p>
    <w:p w14:paraId="1D277599"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3" w:name="n880"/>
      <w:bookmarkEnd w:id="33"/>
      <w:r w:rsidRPr="00A6450B">
        <w:rPr>
          <w:rFonts w:ascii="Times New Roman" w:eastAsia="Times New Roman" w:hAnsi="Times New Roman" w:cs="Times New Roman"/>
          <w:color w:val="333333"/>
          <w:kern w:val="0"/>
          <w:lang w:eastAsia="ru-RU"/>
          <w14:ligatures w14:val="none"/>
        </w:rPr>
        <w:t>розділ IV. Документальні планові перевірки платників податків - юридичних осіб з питань правильності обчислення, повноти і своєчасності сплати податку на доходи фізичних осіб, військового збору та єдиного внеску на загальнообов’язкове державне соціальне страхування.</w:t>
      </w:r>
    </w:p>
    <w:p w14:paraId="0DD72E59"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4" w:name="n881"/>
      <w:bookmarkEnd w:id="34"/>
      <w:r w:rsidRPr="00A6450B">
        <w:rPr>
          <w:rFonts w:ascii="Times New Roman" w:eastAsia="Times New Roman" w:hAnsi="Times New Roman" w:cs="Times New Roman"/>
          <w:color w:val="333333"/>
          <w:kern w:val="0"/>
          <w:lang w:eastAsia="ru-RU"/>
          <w14:ligatures w14:val="none"/>
        </w:rPr>
        <w:t>2. Розділ I плану-графіка має підрозділи А та Б.</w:t>
      </w:r>
    </w:p>
    <w:p w14:paraId="1319D5EA"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5" w:name="n882"/>
      <w:bookmarkEnd w:id="35"/>
      <w:r w:rsidRPr="00A6450B">
        <w:rPr>
          <w:rFonts w:ascii="Times New Roman" w:eastAsia="Times New Roman" w:hAnsi="Times New Roman" w:cs="Times New Roman"/>
          <w:color w:val="333333"/>
          <w:kern w:val="0"/>
          <w:lang w:eastAsia="ru-RU"/>
          <w14:ligatures w14:val="none"/>
        </w:rPr>
        <w:t>Підрозділ А. Платники податків, які належать до кластерних об’єднань платників податків, та їх контрагенти</w:t>
      </w:r>
    </w:p>
    <w:p w14:paraId="613033B8"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6" w:name="n883"/>
      <w:bookmarkEnd w:id="36"/>
      <w:r w:rsidRPr="00A6450B">
        <w:rPr>
          <w:rFonts w:ascii="Times New Roman" w:eastAsia="Times New Roman" w:hAnsi="Times New Roman" w:cs="Times New Roman"/>
          <w:color w:val="333333"/>
          <w:kern w:val="0"/>
          <w:lang w:eastAsia="ru-RU"/>
          <w14:ligatures w14:val="none"/>
        </w:rPr>
        <w:t>Цей підрозділ плану-графіка має дві групи:</w:t>
      </w:r>
    </w:p>
    <w:p w14:paraId="113CFF26"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7" w:name="n884"/>
      <w:bookmarkEnd w:id="37"/>
      <w:r w:rsidRPr="00A6450B">
        <w:rPr>
          <w:rFonts w:ascii="Times New Roman" w:eastAsia="Times New Roman" w:hAnsi="Times New Roman" w:cs="Times New Roman"/>
          <w:color w:val="333333"/>
          <w:kern w:val="0"/>
          <w:lang w:eastAsia="ru-RU"/>
          <w14:ligatures w14:val="none"/>
        </w:rPr>
        <w:t>І група - основні підприємства, які належать до кластерних об’єднань платників податків;</w:t>
      </w:r>
    </w:p>
    <w:p w14:paraId="6C151E75"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8" w:name="n885"/>
      <w:bookmarkEnd w:id="38"/>
      <w:r w:rsidRPr="00A6450B">
        <w:rPr>
          <w:rFonts w:ascii="Times New Roman" w:eastAsia="Times New Roman" w:hAnsi="Times New Roman" w:cs="Times New Roman"/>
          <w:color w:val="333333"/>
          <w:kern w:val="0"/>
          <w:lang w:eastAsia="ru-RU"/>
          <w14:ligatures w14:val="none"/>
        </w:rPr>
        <w:lastRenderedPageBreak/>
        <w:t>II група - найбільші контрагенти, через яких здійснюються товарно-грошові операції (у тому числі посередницькі структури, експортери, імпортери, філії, інші платники податків - юридичні особи).</w:t>
      </w:r>
    </w:p>
    <w:p w14:paraId="013E5D8D"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9" w:name="n886"/>
      <w:bookmarkEnd w:id="39"/>
      <w:r w:rsidRPr="00A6450B">
        <w:rPr>
          <w:rFonts w:ascii="Times New Roman" w:eastAsia="Times New Roman" w:hAnsi="Times New Roman" w:cs="Times New Roman"/>
          <w:color w:val="333333"/>
          <w:kern w:val="0"/>
          <w:lang w:eastAsia="ru-RU"/>
          <w14:ligatures w14:val="none"/>
        </w:rPr>
        <w:t>Підрозділ Б. Інші платники податків</w:t>
      </w:r>
    </w:p>
    <w:p w14:paraId="5097A50A"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0" w:name="n887"/>
      <w:bookmarkEnd w:id="40"/>
      <w:r w:rsidRPr="00A6450B">
        <w:rPr>
          <w:rFonts w:ascii="Times New Roman" w:eastAsia="Times New Roman" w:hAnsi="Times New Roman" w:cs="Times New Roman"/>
          <w:color w:val="333333"/>
          <w:kern w:val="0"/>
          <w:lang w:eastAsia="ru-RU"/>
          <w14:ligatures w14:val="none"/>
        </w:rPr>
        <w:t>Цей підрозділ плану-графіка має дві групи:</w:t>
      </w:r>
    </w:p>
    <w:p w14:paraId="64A36106"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1" w:name="n888"/>
      <w:bookmarkEnd w:id="41"/>
      <w:r w:rsidRPr="00A6450B">
        <w:rPr>
          <w:rFonts w:ascii="Times New Roman" w:eastAsia="Times New Roman" w:hAnsi="Times New Roman" w:cs="Times New Roman"/>
          <w:color w:val="333333"/>
          <w:kern w:val="0"/>
          <w:lang w:eastAsia="ru-RU"/>
          <w14:ligatures w14:val="none"/>
        </w:rPr>
        <w:t>I група - основні підприємства;</w:t>
      </w:r>
    </w:p>
    <w:p w14:paraId="6ACE1A2A"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2" w:name="n889"/>
      <w:bookmarkEnd w:id="42"/>
      <w:r w:rsidRPr="00A6450B">
        <w:rPr>
          <w:rFonts w:ascii="Times New Roman" w:eastAsia="Times New Roman" w:hAnsi="Times New Roman" w:cs="Times New Roman"/>
          <w:color w:val="333333"/>
          <w:kern w:val="0"/>
          <w:lang w:eastAsia="ru-RU"/>
          <w14:ligatures w14:val="none"/>
        </w:rPr>
        <w:t>II група - найбільші контрагенти, через яких здійснюються товарно-грошові операції (у тому числі посередницькі структури, експортери, імпортери, філії, інші платники податків - юридичні особи).</w:t>
      </w:r>
    </w:p>
    <w:p w14:paraId="7FCEA82D"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3" w:name="n890"/>
      <w:bookmarkEnd w:id="43"/>
      <w:r w:rsidRPr="00A6450B">
        <w:rPr>
          <w:rFonts w:ascii="Times New Roman" w:eastAsia="Times New Roman" w:hAnsi="Times New Roman" w:cs="Times New Roman"/>
          <w:color w:val="333333"/>
          <w:kern w:val="0"/>
          <w:lang w:eastAsia="ru-RU"/>
          <w14:ligatures w14:val="none"/>
        </w:rPr>
        <w:t>3. Розділ IІ плану-графіка має п’ять груп:</w:t>
      </w:r>
    </w:p>
    <w:p w14:paraId="3616CE58"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4" w:name="n891"/>
      <w:bookmarkEnd w:id="44"/>
      <w:r w:rsidRPr="00A6450B">
        <w:rPr>
          <w:rFonts w:ascii="Times New Roman" w:eastAsia="Times New Roman" w:hAnsi="Times New Roman" w:cs="Times New Roman"/>
          <w:color w:val="333333"/>
          <w:kern w:val="0"/>
          <w:lang w:eastAsia="ru-RU"/>
          <w14:ligatures w14:val="none"/>
        </w:rPr>
        <w:t>I група - банки та їх відокремлені підрозділи;</w:t>
      </w:r>
    </w:p>
    <w:p w14:paraId="23F6D386"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5" w:name="n892"/>
      <w:bookmarkEnd w:id="45"/>
      <w:r w:rsidRPr="00A6450B">
        <w:rPr>
          <w:rFonts w:ascii="Times New Roman" w:eastAsia="Times New Roman" w:hAnsi="Times New Roman" w:cs="Times New Roman"/>
          <w:color w:val="333333"/>
          <w:kern w:val="0"/>
          <w:lang w:eastAsia="ru-RU"/>
          <w14:ligatures w14:val="none"/>
        </w:rPr>
        <w:t>II група - страховики та їх відокремлені підрозділи;</w:t>
      </w:r>
    </w:p>
    <w:p w14:paraId="4F1D6F14"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6" w:name="n893"/>
      <w:bookmarkEnd w:id="46"/>
      <w:r w:rsidRPr="00A6450B">
        <w:rPr>
          <w:rFonts w:ascii="Times New Roman" w:eastAsia="Times New Roman" w:hAnsi="Times New Roman" w:cs="Times New Roman"/>
          <w:color w:val="333333"/>
          <w:kern w:val="0"/>
          <w:lang w:eastAsia="ru-RU"/>
          <w14:ligatures w14:val="none"/>
        </w:rPr>
        <w:t>III група - торговці цінними паперами та їх відокремлені підрозділи;</w:t>
      </w:r>
    </w:p>
    <w:p w14:paraId="373B4355"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7" w:name="n894"/>
      <w:bookmarkEnd w:id="47"/>
      <w:r w:rsidRPr="00A6450B">
        <w:rPr>
          <w:rFonts w:ascii="Times New Roman" w:eastAsia="Times New Roman" w:hAnsi="Times New Roman" w:cs="Times New Roman"/>
          <w:color w:val="333333"/>
          <w:kern w:val="0"/>
          <w:lang w:eastAsia="ru-RU"/>
          <w14:ligatures w14:val="none"/>
        </w:rPr>
        <w:t>IV група - інші небанківські установи та їх відокремлені підрозділи;</w:t>
      </w:r>
    </w:p>
    <w:p w14:paraId="7792F163"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8" w:name="n895"/>
      <w:bookmarkEnd w:id="48"/>
      <w:r w:rsidRPr="00A6450B">
        <w:rPr>
          <w:rFonts w:ascii="Times New Roman" w:eastAsia="Times New Roman" w:hAnsi="Times New Roman" w:cs="Times New Roman"/>
          <w:color w:val="333333"/>
          <w:kern w:val="0"/>
          <w:lang w:eastAsia="ru-RU"/>
          <w14:ligatures w14:val="none"/>
        </w:rPr>
        <w:t>V група - постійні представництва та представництва нерезидентів.</w:t>
      </w:r>
    </w:p>
    <w:p w14:paraId="5B43572D"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9" w:name="n896"/>
      <w:bookmarkEnd w:id="49"/>
      <w:r w:rsidRPr="00A6450B">
        <w:rPr>
          <w:rFonts w:ascii="Times New Roman" w:eastAsia="Times New Roman" w:hAnsi="Times New Roman" w:cs="Times New Roman"/>
          <w:color w:val="333333"/>
          <w:kern w:val="0"/>
          <w:lang w:eastAsia="ru-RU"/>
          <w14:ligatures w14:val="none"/>
        </w:rPr>
        <w:t>4. Розділ ІІІ плану-графіка поділяється на три групи:</w:t>
      </w:r>
    </w:p>
    <w:p w14:paraId="41744F0F"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50" w:name="n897"/>
      <w:bookmarkEnd w:id="50"/>
      <w:r w:rsidRPr="00A6450B">
        <w:rPr>
          <w:rFonts w:ascii="Times New Roman" w:eastAsia="Times New Roman" w:hAnsi="Times New Roman" w:cs="Times New Roman"/>
          <w:color w:val="333333"/>
          <w:kern w:val="0"/>
          <w:lang w:eastAsia="ru-RU"/>
          <w14:ligatures w14:val="none"/>
        </w:rPr>
        <w:t>I група - платники податків - фізичні особи, у яких обсяг доходу за рік не перевищує 20 млн грн;</w:t>
      </w:r>
    </w:p>
    <w:p w14:paraId="2609DA01"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51" w:name="n898"/>
      <w:bookmarkEnd w:id="51"/>
      <w:r w:rsidRPr="00A6450B">
        <w:rPr>
          <w:rFonts w:ascii="Times New Roman" w:eastAsia="Times New Roman" w:hAnsi="Times New Roman" w:cs="Times New Roman"/>
          <w:color w:val="333333"/>
          <w:kern w:val="0"/>
          <w:lang w:eastAsia="ru-RU"/>
          <w14:ligatures w14:val="none"/>
        </w:rPr>
        <w:t>II група - платники податків - фізичні особи, у яких обсяг доходу за рік становить 20 млн грн або більше та не перевищує 100 млн грн;</w:t>
      </w:r>
    </w:p>
    <w:p w14:paraId="62FD0CE3"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52" w:name="n899"/>
      <w:bookmarkEnd w:id="52"/>
      <w:r w:rsidRPr="00A6450B">
        <w:rPr>
          <w:rFonts w:ascii="Times New Roman" w:eastAsia="Times New Roman" w:hAnsi="Times New Roman" w:cs="Times New Roman"/>
          <w:color w:val="333333"/>
          <w:kern w:val="0"/>
          <w:lang w:eastAsia="ru-RU"/>
          <w14:ligatures w14:val="none"/>
        </w:rPr>
        <w:t>III група - платники податків - фізичні особи, у яких обсяг доходу за рік перевищує 100 млн гривень.</w:t>
      </w:r>
    </w:p>
    <w:p w14:paraId="20E446F8"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53" w:name="n900"/>
      <w:bookmarkEnd w:id="53"/>
      <w:r w:rsidRPr="00A6450B">
        <w:rPr>
          <w:rFonts w:ascii="Times New Roman" w:eastAsia="Times New Roman" w:hAnsi="Times New Roman" w:cs="Times New Roman"/>
          <w:color w:val="333333"/>
          <w:kern w:val="0"/>
          <w:lang w:eastAsia="ru-RU"/>
          <w14:ligatures w14:val="none"/>
        </w:rPr>
        <w:t>5. Розділ ІV плану-графіка поділяється на три групи:</w:t>
      </w:r>
    </w:p>
    <w:p w14:paraId="70835E26"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54" w:name="n901"/>
      <w:bookmarkEnd w:id="54"/>
      <w:r w:rsidRPr="00A6450B">
        <w:rPr>
          <w:rFonts w:ascii="Times New Roman" w:eastAsia="Times New Roman" w:hAnsi="Times New Roman" w:cs="Times New Roman"/>
          <w:color w:val="333333"/>
          <w:kern w:val="0"/>
          <w:lang w:eastAsia="ru-RU"/>
          <w14:ligatures w14:val="none"/>
        </w:rPr>
        <w:t>I група - великі платники - платники податків - юридичні особи, які мають чисельність найманих працівників понад 250 осіб;</w:t>
      </w:r>
    </w:p>
    <w:p w14:paraId="7ABFD1A3"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55" w:name="n902"/>
      <w:bookmarkEnd w:id="55"/>
      <w:r w:rsidRPr="00A6450B">
        <w:rPr>
          <w:rFonts w:ascii="Times New Roman" w:eastAsia="Times New Roman" w:hAnsi="Times New Roman" w:cs="Times New Roman"/>
          <w:color w:val="333333"/>
          <w:kern w:val="0"/>
          <w:lang w:eastAsia="ru-RU"/>
          <w14:ligatures w14:val="none"/>
        </w:rPr>
        <w:t>II група - середні платники - платники податків - юридичні особи, які мають чисельність найманих працівників від 50 до 250 осіб;</w:t>
      </w:r>
    </w:p>
    <w:p w14:paraId="2BDA4165"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56" w:name="n903"/>
      <w:bookmarkEnd w:id="56"/>
      <w:r w:rsidRPr="00A6450B">
        <w:rPr>
          <w:rFonts w:ascii="Times New Roman" w:eastAsia="Times New Roman" w:hAnsi="Times New Roman" w:cs="Times New Roman"/>
          <w:color w:val="333333"/>
          <w:kern w:val="0"/>
          <w:lang w:eastAsia="ru-RU"/>
          <w14:ligatures w14:val="none"/>
        </w:rPr>
        <w:t>III група - малі платники - платники податків - юридичні особи, які мають чисельність найманих працівників менше ніж 50 осіб.</w:t>
      </w:r>
    </w:p>
    <w:p w14:paraId="6F0B77CF"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57" w:name="n904"/>
      <w:bookmarkEnd w:id="57"/>
      <w:r w:rsidRPr="00A6450B">
        <w:rPr>
          <w:rFonts w:ascii="Times New Roman" w:eastAsia="Times New Roman" w:hAnsi="Times New Roman" w:cs="Times New Roman"/>
          <w:color w:val="333333"/>
          <w:kern w:val="0"/>
          <w:lang w:eastAsia="ru-RU"/>
          <w14:ligatures w14:val="none"/>
        </w:rPr>
        <w:t>6. Строки проведення документальних планових перевірок визначаються нормами </w:t>
      </w:r>
      <w:hyperlink r:id="rId12" w:anchor="n1866" w:tgtFrame="_blank" w:history="1">
        <w:r w:rsidRPr="00A6450B">
          <w:rPr>
            <w:rFonts w:ascii="Times New Roman" w:eastAsia="Times New Roman" w:hAnsi="Times New Roman" w:cs="Times New Roman"/>
            <w:color w:val="000099"/>
            <w:kern w:val="0"/>
            <w:u w:val="single"/>
            <w:lang w:eastAsia="ru-RU"/>
            <w14:ligatures w14:val="none"/>
          </w:rPr>
          <w:t>пункту 82.1</w:t>
        </w:r>
      </w:hyperlink>
      <w:r w:rsidRPr="00A6450B">
        <w:rPr>
          <w:rFonts w:ascii="Times New Roman" w:eastAsia="Times New Roman" w:hAnsi="Times New Roman" w:cs="Times New Roman"/>
          <w:color w:val="333333"/>
          <w:kern w:val="0"/>
          <w:lang w:eastAsia="ru-RU"/>
          <w14:ligatures w14:val="none"/>
        </w:rPr>
        <w:t> статті 82 Кодексу залежно від віднесення платників податків до великих платників податків (</w:t>
      </w:r>
      <w:hyperlink r:id="rId13" w:anchor="n300" w:tgtFrame="_blank" w:history="1">
        <w:r w:rsidRPr="00A6450B">
          <w:rPr>
            <w:rFonts w:ascii="Times New Roman" w:eastAsia="Times New Roman" w:hAnsi="Times New Roman" w:cs="Times New Roman"/>
            <w:color w:val="000099"/>
            <w:kern w:val="0"/>
            <w:u w:val="single"/>
            <w:lang w:eastAsia="ru-RU"/>
            <w14:ligatures w14:val="none"/>
          </w:rPr>
          <w:t>підпункт 14.1.24</w:t>
        </w:r>
      </w:hyperlink>
      <w:r w:rsidRPr="00A6450B">
        <w:rPr>
          <w:rFonts w:ascii="Times New Roman" w:eastAsia="Times New Roman" w:hAnsi="Times New Roman" w:cs="Times New Roman"/>
          <w:color w:val="333333"/>
          <w:kern w:val="0"/>
          <w:lang w:eastAsia="ru-RU"/>
          <w14:ligatures w14:val="none"/>
        </w:rPr>
        <w:t> пункт 14.1 статті 14 Кодексу), суб’єктів малого підприємництва (</w:t>
      </w:r>
      <w:hyperlink r:id="rId14" w:anchor="n380" w:tgtFrame="_blank" w:history="1">
        <w:r w:rsidRPr="00A6450B">
          <w:rPr>
            <w:rFonts w:ascii="Times New Roman" w:eastAsia="Times New Roman" w:hAnsi="Times New Roman" w:cs="Times New Roman"/>
            <w:color w:val="000099"/>
            <w:kern w:val="0"/>
            <w:u w:val="single"/>
            <w:lang w:eastAsia="ru-RU"/>
            <w14:ligatures w14:val="none"/>
          </w:rPr>
          <w:t>стаття 55</w:t>
        </w:r>
      </w:hyperlink>
      <w:r w:rsidRPr="00A6450B">
        <w:rPr>
          <w:rFonts w:ascii="Times New Roman" w:eastAsia="Times New Roman" w:hAnsi="Times New Roman" w:cs="Times New Roman"/>
          <w:color w:val="333333"/>
          <w:kern w:val="0"/>
          <w:lang w:eastAsia="ru-RU"/>
          <w14:ligatures w14:val="none"/>
        </w:rPr>
        <w:t> Господарського кодексу України) та інших платників податків.</w:t>
      </w:r>
    </w:p>
    <w:p w14:paraId="26004247" w14:textId="77777777" w:rsidR="00A6450B" w:rsidRPr="00A6450B" w:rsidRDefault="00A6450B" w:rsidP="00A6450B">
      <w:pPr>
        <w:spacing w:before="150" w:after="150" w:line="240" w:lineRule="auto"/>
        <w:ind w:left="450" w:right="450"/>
        <w:jc w:val="center"/>
        <w:rPr>
          <w:rFonts w:ascii="Times New Roman" w:eastAsia="Times New Roman" w:hAnsi="Times New Roman" w:cs="Times New Roman"/>
          <w:color w:val="333333"/>
          <w:kern w:val="0"/>
          <w:lang w:eastAsia="ru-RU"/>
          <w14:ligatures w14:val="none"/>
        </w:rPr>
      </w:pPr>
      <w:bookmarkStart w:id="58" w:name="n905"/>
      <w:bookmarkEnd w:id="58"/>
      <w:r w:rsidRPr="00A6450B">
        <w:rPr>
          <w:rFonts w:ascii="Times New Roman" w:eastAsia="Times New Roman" w:hAnsi="Times New Roman" w:cs="Times New Roman"/>
          <w:b/>
          <w:bCs/>
          <w:color w:val="333333"/>
          <w:kern w:val="0"/>
          <w:sz w:val="28"/>
          <w:szCs w:val="28"/>
          <w:lang w:eastAsia="ru-RU"/>
          <w14:ligatures w14:val="none"/>
        </w:rPr>
        <w:t>III. Порядок відбору до плану-графіка платників податків - юридичних осіб, фінансових установ, постійних представництв та представництв нерезидентів</w:t>
      </w:r>
    </w:p>
    <w:p w14:paraId="72FB5DDB"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59" w:name="n906"/>
      <w:bookmarkEnd w:id="59"/>
      <w:r w:rsidRPr="00A6450B">
        <w:rPr>
          <w:rFonts w:ascii="Times New Roman" w:eastAsia="Times New Roman" w:hAnsi="Times New Roman" w:cs="Times New Roman"/>
          <w:color w:val="333333"/>
          <w:kern w:val="0"/>
          <w:lang w:eastAsia="ru-RU"/>
          <w14:ligatures w14:val="none"/>
        </w:rPr>
        <w:lastRenderedPageBreak/>
        <w:t>1. До розділів I, II плану-графіка включаються платники податків реального сектору економіки, які провадять фінансово-господарську діяльність, сплачують податки та взяті на облік в контролюючих органах як платники податків за основним місцем обліку, або щодо яких порушено провадження у справі про банкрутство, або які знаходяться у стані зміни свого місцезнаходження.</w:t>
      </w:r>
    </w:p>
    <w:p w14:paraId="304C8003"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60" w:name="n907"/>
      <w:bookmarkEnd w:id="60"/>
      <w:r w:rsidRPr="00A6450B">
        <w:rPr>
          <w:rFonts w:ascii="Times New Roman" w:eastAsia="Times New Roman" w:hAnsi="Times New Roman" w:cs="Times New Roman"/>
          <w:color w:val="333333"/>
          <w:kern w:val="0"/>
          <w:lang w:eastAsia="ru-RU"/>
          <w14:ligatures w14:val="none"/>
        </w:rPr>
        <w:t>2. Формування переліку платників податків до розділів I, II плану-графіка проводиться за критеріями ризиків згідно з вимогами цього розділу, у тому числі за даними інформаційно-телекомунікаційних систем контролюючих органів.</w:t>
      </w:r>
    </w:p>
    <w:p w14:paraId="01D7CAAF"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61" w:name="n908"/>
      <w:bookmarkEnd w:id="61"/>
      <w:r w:rsidRPr="00A6450B">
        <w:rPr>
          <w:rFonts w:ascii="Times New Roman" w:eastAsia="Times New Roman" w:hAnsi="Times New Roman" w:cs="Times New Roman"/>
          <w:color w:val="333333"/>
          <w:kern w:val="0"/>
          <w:lang w:eastAsia="ru-RU"/>
          <w14:ligatures w14:val="none"/>
        </w:rPr>
        <w:t>При формуванні плану-графіка на наступний рік враховуються показники за результатами діяльності платника податків за 9 місяців поточного року. Якщо податковим (звітним) періодом для податку на прибуток платника податків є календарний рік, при плануванні враховуються показники за попередній рік. При коригуванні плану-графіка враховуються показники за результатами діяльності платника податків за останній податковий (звітний) період, крім показників за результатами діяльності платника податків за перший квартал.</w:t>
      </w:r>
    </w:p>
    <w:p w14:paraId="4E875C03"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62" w:name="n909"/>
      <w:bookmarkEnd w:id="62"/>
      <w:r w:rsidRPr="00A6450B">
        <w:rPr>
          <w:rFonts w:ascii="Times New Roman" w:eastAsia="Times New Roman" w:hAnsi="Times New Roman" w:cs="Times New Roman"/>
          <w:color w:val="333333"/>
          <w:kern w:val="0"/>
          <w:lang w:eastAsia="ru-RU"/>
          <w14:ligatures w14:val="none"/>
        </w:rPr>
        <w:t>3. До плану-графіка включаються платники податків, які за результатами господарської діяльності мають найбільші ризики несплати до бюджету податків та зборів, платежів.</w:t>
      </w:r>
    </w:p>
    <w:p w14:paraId="39E1C106"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63" w:name="n910"/>
      <w:bookmarkEnd w:id="63"/>
      <w:r w:rsidRPr="00A6450B">
        <w:rPr>
          <w:rFonts w:ascii="Times New Roman" w:eastAsia="Times New Roman" w:hAnsi="Times New Roman" w:cs="Times New Roman"/>
          <w:color w:val="333333"/>
          <w:kern w:val="0"/>
          <w:lang w:eastAsia="ru-RU"/>
          <w14:ligatures w14:val="none"/>
        </w:rPr>
        <w:t>До підрозділу А насамперед включаються платники податків, які мають не менше ніж три критерії високого ступеня ризику та обсяги доходів або обсяги постачання для головних управлінь (далі - ГУ) ДПС у Дніпропетровській, Київській областях, місті Києві, що дорівнюють або більше ніж 100 млн грн, для ГУ ДПС у Запорізькій, Львівській, Миколаївській, Харківській областях - дорівнюють або більше ніж 50 млн грн, для міжрегіональних управлінь ДПС по роботі з великими платниками податків - дорівнюють або більше ніж 10 000 млн грн, для інших ГУ ДПС - дорівнюють або більше ніж 20 млн грн (у розрахунку на рік).</w:t>
      </w:r>
    </w:p>
    <w:p w14:paraId="24B6DD2C" w14:textId="77777777" w:rsidR="00A6450B" w:rsidRPr="00A6450B" w:rsidRDefault="00A6450B" w:rsidP="00A6450B">
      <w:pPr>
        <w:spacing w:after="150" w:line="240" w:lineRule="auto"/>
        <w:jc w:val="center"/>
        <w:rPr>
          <w:rFonts w:ascii="Times New Roman" w:eastAsia="Times New Roman" w:hAnsi="Times New Roman" w:cs="Times New Roman"/>
          <w:i/>
          <w:iCs/>
          <w:color w:val="999999"/>
          <w:kern w:val="0"/>
          <w:lang w:eastAsia="ru-RU"/>
          <w14:ligatures w14:val="none"/>
        </w:rPr>
      </w:pPr>
      <w:bookmarkStart w:id="64" w:name="n1151"/>
      <w:bookmarkEnd w:id="64"/>
      <w:r w:rsidRPr="00A6450B">
        <w:rPr>
          <w:rFonts w:ascii="Times New Roman" w:eastAsia="Times New Roman" w:hAnsi="Times New Roman" w:cs="Times New Roman"/>
          <w:i/>
          <w:iCs/>
          <w:color w:val="999999"/>
          <w:kern w:val="0"/>
          <w:lang w:eastAsia="ru-RU"/>
          <w14:ligatures w14:val="none"/>
        </w:rPr>
        <w:t>{Абзац другий пункту 3 розділу III із змінами, внесеними згідно з Наказом Міністерства фінансів </w:t>
      </w:r>
      <w:hyperlink r:id="rId15" w:anchor="n21" w:tgtFrame="_blank" w:history="1">
        <w:r w:rsidRPr="00A6450B">
          <w:rPr>
            <w:rFonts w:ascii="Times New Roman" w:eastAsia="Times New Roman" w:hAnsi="Times New Roman" w:cs="Times New Roman"/>
            <w:i/>
            <w:iCs/>
            <w:color w:val="666666"/>
            <w:kern w:val="0"/>
            <w:u w:val="single"/>
            <w:lang w:eastAsia="ru-RU"/>
            <w14:ligatures w14:val="none"/>
          </w:rPr>
          <w:t>№ 655 від 10.12.2021</w:t>
        </w:r>
      </w:hyperlink>
      <w:r w:rsidRPr="00A6450B">
        <w:rPr>
          <w:rFonts w:ascii="Times New Roman" w:eastAsia="Times New Roman" w:hAnsi="Times New Roman" w:cs="Times New Roman"/>
          <w:i/>
          <w:iCs/>
          <w:color w:val="999999"/>
          <w:kern w:val="0"/>
          <w:lang w:eastAsia="ru-RU"/>
          <w14:ligatures w14:val="none"/>
        </w:rPr>
        <w:t>}</w:t>
      </w:r>
    </w:p>
    <w:p w14:paraId="164F9A3C"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65" w:name="n911"/>
      <w:bookmarkEnd w:id="65"/>
      <w:r w:rsidRPr="00A6450B">
        <w:rPr>
          <w:rFonts w:ascii="Times New Roman" w:eastAsia="Times New Roman" w:hAnsi="Times New Roman" w:cs="Times New Roman"/>
          <w:color w:val="333333"/>
          <w:kern w:val="0"/>
          <w:lang w:eastAsia="ru-RU"/>
          <w14:ligatures w14:val="none"/>
        </w:rPr>
        <w:t>4. Структурні підрозділи ДПС надають підрозділу, до функцій якого входить організація роботи щодо формування плану-графіка, до 10 листопада року, що передує року, в якому будуть проводитися документальні планові перевірки, аргументовані пропозиції для врахування при формуванні плану-графіка перевірок ризикових платників податків, які належать до кластерних об’єднань платників податків, та їх контрагентів з обґрунтуванням необхідності включення.</w:t>
      </w:r>
    </w:p>
    <w:p w14:paraId="06DC9A96" w14:textId="77777777" w:rsidR="00A6450B" w:rsidRPr="00A6450B" w:rsidRDefault="00A6450B" w:rsidP="00A6450B">
      <w:pPr>
        <w:spacing w:after="150" w:line="240" w:lineRule="auto"/>
        <w:jc w:val="center"/>
        <w:rPr>
          <w:rFonts w:ascii="Times New Roman" w:eastAsia="Times New Roman" w:hAnsi="Times New Roman" w:cs="Times New Roman"/>
          <w:i/>
          <w:iCs/>
          <w:color w:val="999999"/>
          <w:kern w:val="0"/>
          <w:lang w:eastAsia="ru-RU"/>
          <w14:ligatures w14:val="none"/>
        </w:rPr>
      </w:pPr>
      <w:bookmarkStart w:id="66" w:name="n1153"/>
      <w:bookmarkEnd w:id="66"/>
      <w:r w:rsidRPr="00A6450B">
        <w:rPr>
          <w:rFonts w:ascii="Times New Roman" w:eastAsia="Times New Roman" w:hAnsi="Times New Roman" w:cs="Times New Roman"/>
          <w:i/>
          <w:iCs/>
          <w:color w:val="999999"/>
          <w:kern w:val="0"/>
          <w:lang w:eastAsia="ru-RU"/>
          <w14:ligatures w14:val="none"/>
        </w:rPr>
        <w:t>{Абзац перший пункту 4 розділу III із змінами, внесеними згідно з Наказом Міністерства фінансів </w:t>
      </w:r>
      <w:hyperlink r:id="rId16" w:anchor="n21" w:tgtFrame="_blank" w:history="1">
        <w:r w:rsidRPr="00A6450B">
          <w:rPr>
            <w:rFonts w:ascii="Times New Roman" w:eastAsia="Times New Roman" w:hAnsi="Times New Roman" w:cs="Times New Roman"/>
            <w:i/>
            <w:iCs/>
            <w:color w:val="666666"/>
            <w:kern w:val="0"/>
            <w:u w:val="single"/>
            <w:lang w:eastAsia="ru-RU"/>
            <w14:ligatures w14:val="none"/>
          </w:rPr>
          <w:t>№ 655 від 10.12.2021</w:t>
        </w:r>
      </w:hyperlink>
      <w:r w:rsidRPr="00A6450B">
        <w:rPr>
          <w:rFonts w:ascii="Times New Roman" w:eastAsia="Times New Roman" w:hAnsi="Times New Roman" w:cs="Times New Roman"/>
          <w:i/>
          <w:iCs/>
          <w:color w:val="999999"/>
          <w:kern w:val="0"/>
          <w:lang w:eastAsia="ru-RU"/>
          <w14:ligatures w14:val="none"/>
        </w:rPr>
        <w:t>}</w:t>
      </w:r>
    </w:p>
    <w:p w14:paraId="5823151A"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67" w:name="n912"/>
      <w:bookmarkEnd w:id="67"/>
      <w:r w:rsidRPr="00A6450B">
        <w:rPr>
          <w:rFonts w:ascii="Times New Roman" w:eastAsia="Times New Roman" w:hAnsi="Times New Roman" w:cs="Times New Roman"/>
          <w:color w:val="333333"/>
          <w:kern w:val="0"/>
          <w:lang w:eastAsia="ru-RU"/>
          <w14:ligatures w14:val="none"/>
        </w:rPr>
        <w:t>Пропозиції структурних підрозділів ДПС направляються підрозділом, до функцій якого входить організація роботи щодо формування плану-графіка, до територіальних органів ДПС для використання при формуванні плану-графіка.</w:t>
      </w:r>
    </w:p>
    <w:p w14:paraId="54ED7184" w14:textId="77777777" w:rsidR="00A6450B" w:rsidRPr="00A6450B" w:rsidRDefault="00A6450B" w:rsidP="00A6450B">
      <w:pPr>
        <w:spacing w:after="150" w:line="240" w:lineRule="auto"/>
        <w:jc w:val="center"/>
        <w:rPr>
          <w:rFonts w:ascii="Times New Roman" w:eastAsia="Times New Roman" w:hAnsi="Times New Roman" w:cs="Times New Roman"/>
          <w:i/>
          <w:iCs/>
          <w:color w:val="999999"/>
          <w:kern w:val="0"/>
          <w:lang w:eastAsia="ru-RU"/>
          <w14:ligatures w14:val="none"/>
        </w:rPr>
      </w:pPr>
      <w:bookmarkStart w:id="68" w:name="n1155"/>
      <w:bookmarkEnd w:id="68"/>
      <w:r w:rsidRPr="00A6450B">
        <w:rPr>
          <w:rFonts w:ascii="Times New Roman" w:eastAsia="Times New Roman" w:hAnsi="Times New Roman" w:cs="Times New Roman"/>
          <w:i/>
          <w:iCs/>
          <w:color w:val="999999"/>
          <w:kern w:val="0"/>
          <w:lang w:eastAsia="ru-RU"/>
          <w14:ligatures w14:val="none"/>
        </w:rPr>
        <w:t>{Абзац другий пункту 4 розділу III із змінами, внесеними згідно з Наказом Міністерства фінансів </w:t>
      </w:r>
      <w:hyperlink r:id="rId17" w:anchor="n21" w:tgtFrame="_blank" w:history="1">
        <w:r w:rsidRPr="00A6450B">
          <w:rPr>
            <w:rFonts w:ascii="Times New Roman" w:eastAsia="Times New Roman" w:hAnsi="Times New Roman" w:cs="Times New Roman"/>
            <w:i/>
            <w:iCs/>
            <w:color w:val="666666"/>
            <w:kern w:val="0"/>
            <w:u w:val="single"/>
            <w:lang w:eastAsia="ru-RU"/>
            <w14:ligatures w14:val="none"/>
          </w:rPr>
          <w:t>№ 655 від 10.12.2021</w:t>
        </w:r>
      </w:hyperlink>
      <w:r w:rsidRPr="00A6450B">
        <w:rPr>
          <w:rFonts w:ascii="Times New Roman" w:eastAsia="Times New Roman" w:hAnsi="Times New Roman" w:cs="Times New Roman"/>
          <w:i/>
          <w:iCs/>
          <w:color w:val="999999"/>
          <w:kern w:val="0"/>
          <w:lang w:eastAsia="ru-RU"/>
          <w14:ligatures w14:val="none"/>
        </w:rPr>
        <w:t>}</w:t>
      </w:r>
    </w:p>
    <w:p w14:paraId="3428C473"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69" w:name="n913"/>
      <w:bookmarkEnd w:id="69"/>
      <w:r w:rsidRPr="00A6450B">
        <w:rPr>
          <w:rFonts w:ascii="Times New Roman" w:eastAsia="Times New Roman" w:hAnsi="Times New Roman" w:cs="Times New Roman"/>
          <w:color w:val="333333"/>
          <w:kern w:val="0"/>
          <w:lang w:eastAsia="ru-RU"/>
          <w14:ligatures w14:val="none"/>
        </w:rPr>
        <w:t xml:space="preserve">На рівні територіальних органів ДПС за даними інформаційних ресурсів контролюючих органів та з інших джерел з урахуванням вимог пункту 2 цього розділу проводиться додатковий аналіз платників податків, які відібрані за даними інформаційно-телекомунікаційних систем контролюючих органів та за пропозиціями </w:t>
      </w:r>
      <w:r w:rsidRPr="00A6450B">
        <w:rPr>
          <w:rFonts w:ascii="Times New Roman" w:eastAsia="Times New Roman" w:hAnsi="Times New Roman" w:cs="Times New Roman"/>
          <w:color w:val="333333"/>
          <w:kern w:val="0"/>
          <w:lang w:eastAsia="ru-RU"/>
          <w14:ligatures w14:val="none"/>
        </w:rPr>
        <w:lastRenderedPageBreak/>
        <w:t>структурних підрозділів ДПС, щодо їх належності до реального сектору економіки, а також визначаються ризикові контрагенти, у тому числі ті, які знаходяться на обліку в інших територіальних органах ДПС.</w:t>
      </w:r>
    </w:p>
    <w:p w14:paraId="1B052E0C"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70" w:name="n914"/>
      <w:bookmarkEnd w:id="70"/>
      <w:r w:rsidRPr="00A6450B">
        <w:rPr>
          <w:rFonts w:ascii="Times New Roman" w:eastAsia="Times New Roman" w:hAnsi="Times New Roman" w:cs="Times New Roman"/>
          <w:color w:val="333333"/>
          <w:kern w:val="0"/>
          <w:lang w:eastAsia="ru-RU"/>
          <w14:ligatures w14:val="none"/>
        </w:rPr>
        <w:t>При включенні підприємств до плану-графіка (коригування плану-графіка) територіальним органам ДПС необхідно встановити наявність структурних підрозділів, дочірніх підприємств, що входять до інфраструктури платників податків - головних підприємств, та направити їх переліки не пізніше 25 листопада року, що передує року, в якому будуть проводитися такі документальні планові перевірки, до відповідних територіальних органів ДПС, на обліку в яких знаходяться вказані підрозділи, для організації контрольно-перевірочних заходів, у тому числі шляхом включення їх до плану-графіка (коригування плану-графіка) у періоди, на які заплановані перевірки головних підприємств.</w:t>
      </w:r>
    </w:p>
    <w:p w14:paraId="30C433AA"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71" w:name="n915"/>
      <w:bookmarkEnd w:id="71"/>
      <w:r w:rsidRPr="00A6450B">
        <w:rPr>
          <w:rFonts w:ascii="Times New Roman" w:eastAsia="Times New Roman" w:hAnsi="Times New Roman" w:cs="Times New Roman"/>
          <w:color w:val="333333"/>
          <w:kern w:val="0"/>
          <w:lang w:eastAsia="ru-RU"/>
          <w14:ligatures w14:val="none"/>
        </w:rPr>
        <w:t>При виявленні під час перевірок нових контрагентів підприємств територіальними органами ДПС у разі потреби здійснюються заходи щодо організації їх перевірок шляхом проведення коригування плану-графіка.</w:t>
      </w:r>
    </w:p>
    <w:p w14:paraId="71FEC829"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72" w:name="n916"/>
      <w:bookmarkEnd w:id="72"/>
      <w:r w:rsidRPr="00A6450B">
        <w:rPr>
          <w:rFonts w:ascii="Times New Roman" w:eastAsia="Times New Roman" w:hAnsi="Times New Roman" w:cs="Times New Roman"/>
          <w:color w:val="333333"/>
          <w:kern w:val="0"/>
          <w:lang w:eastAsia="ru-RU"/>
          <w14:ligatures w14:val="none"/>
        </w:rPr>
        <w:t>5. Критерії відбору платників податків - юридичних осіб:</w:t>
      </w:r>
    </w:p>
    <w:p w14:paraId="5651D111"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73" w:name="n917"/>
      <w:bookmarkEnd w:id="73"/>
      <w:r w:rsidRPr="00A6450B">
        <w:rPr>
          <w:rFonts w:ascii="Times New Roman" w:eastAsia="Times New Roman" w:hAnsi="Times New Roman" w:cs="Times New Roman"/>
          <w:color w:val="333333"/>
          <w:kern w:val="0"/>
          <w:lang w:eastAsia="ru-RU"/>
          <w14:ligatures w14:val="none"/>
        </w:rPr>
        <w:t>1) високого ступеня ризику:</w:t>
      </w:r>
    </w:p>
    <w:p w14:paraId="1BCE62E7"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74" w:name="n918"/>
      <w:bookmarkEnd w:id="74"/>
      <w:r w:rsidRPr="00A6450B">
        <w:rPr>
          <w:rFonts w:ascii="Times New Roman" w:eastAsia="Times New Roman" w:hAnsi="Times New Roman" w:cs="Times New Roman"/>
          <w:color w:val="333333"/>
          <w:kern w:val="0"/>
          <w:lang w:eastAsia="ru-RU"/>
          <w14:ligatures w14:val="none"/>
        </w:rPr>
        <w:t>рівень зростання податку на прибуток нижчий на 50 та більше відсотків за рівень зростання доходів платника податків, що враховуються при визначенні об’єкта оподаткування;</w:t>
      </w:r>
    </w:p>
    <w:p w14:paraId="57B4F6B5"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75" w:name="n919"/>
      <w:bookmarkEnd w:id="75"/>
      <w:r w:rsidRPr="00A6450B">
        <w:rPr>
          <w:rFonts w:ascii="Times New Roman" w:eastAsia="Times New Roman" w:hAnsi="Times New Roman" w:cs="Times New Roman"/>
          <w:color w:val="333333"/>
          <w:kern w:val="0"/>
          <w:lang w:eastAsia="ru-RU"/>
          <w14:ligatures w14:val="none"/>
        </w:rPr>
        <w:t>рівень сплати податку на прибуток нижчий на 50 та більше відсотків за рівень сплати податку за відповідною галуззю;</w:t>
      </w:r>
    </w:p>
    <w:p w14:paraId="54695FD6"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76" w:name="n920"/>
      <w:bookmarkEnd w:id="76"/>
      <w:r w:rsidRPr="00A6450B">
        <w:rPr>
          <w:rFonts w:ascii="Times New Roman" w:eastAsia="Times New Roman" w:hAnsi="Times New Roman" w:cs="Times New Roman"/>
          <w:color w:val="333333"/>
          <w:kern w:val="0"/>
          <w:lang w:eastAsia="ru-RU"/>
          <w14:ligatures w14:val="none"/>
        </w:rPr>
        <w:t>рівень сплати податку на додану вартість нижчий на 50 та більше відсотків за рівень сплати податку за відповідною галуззю;</w:t>
      </w:r>
    </w:p>
    <w:p w14:paraId="698E65AA"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77" w:name="n921"/>
      <w:bookmarkEnd w:id="77"/>
      <w:r w:rsidRPr="00A6450B">
        <w:rPr>
          <w:rFonts w:ascii="Times New Roman" w:eastAsia="Times New Roman" w:hAnsi="Times New Roman" w:cs="Times New Roman"/>
          <w:color w:val="333333"/>
          <w:kern w:val="0"/>
          <w:lang w:eastAsia="ru-RU"/>
          <w14:ligatures w14:val="none"/>
        </w:rPr>
        <w:t>наявність відносин з контрагентами, які знаходяться в розшуку або ліквідовані, або визнані банкрутами, якщо сума таких операцій перевищує 5 відсотків загальних обсягів постачання, але не менше ніж 100 тис.грн;</w:t>
      </w:r>
    </w:p>
    <w:p w14:paraId="16DF0B32"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78" w:name="n922"/>
      <w:bookmarkEnd w:id="78"/>
      <w:r w:rsidRPr="00A6450B">
        <w:rPr>
          <w:rFonts w:ascii="Times New Roman" w:eastAsia="Times New Roman" w:hAnsi="Times New Roman" w:cs="Times New Roman"/>
          <w:color w:val="333333"/>
          <w:kern w:val="0"/>
          <w:lang w:eastAsia="ru-RU"/>
          <w14:ligatures w14:val="none"/>
        </w:rPr>
        <w:t>наявність інформації про непідтвердження реального здійснення операції з придбання із сумою податку на додану вартість понад 1 млн грн або понад 5 відсотків загального обсягу податкового кредиту, але не менше ніж 100 тис.грн;</w:t>
      </w:r>
    </w:p>
    <w:p w14:paraId="05BD27E1" w14:textId="77777777" w:rsidR="00A6450B" w:rsidRPr="00A6450B" w:rsidRDefault="00A6450B" w:rsidP="00A6450B">
      <w:pPr>
        <w:spacing w:after="150" w:line="240" w:lineRule="auto"/>
        <w:ind w:firstLine="450"/>
        <w:jc w:val="both"/>
        <w:rPr>
          <w:rFonts w:ascii="Times New Roman" w:eastAsia="Times New Roman" w:hAnsi="Times New Roman" w:cs="Times New Roman"/>
          <w:i/>
          <w:iCs/>
          <w:color w:val="999999"/>
          <w:kern w:val="0"/>
          <w:lang w:eastAsia="ru-RU"/>
          <w14:ligatures w14:val="none"/>
        </w:rPr>
      </w:pPr>
      <w:bookmarkStart w:id="79" w:name="n923"/>
      <w:bookmarkEnd w:id="79"/>
      <w:r w:rsidRPr="00A6450B">
        <w:rPr>
          <w:rFonts w:ascii="Times New Roman" w:eastAsia="Times New Roman" w:hAnsi="Times New Roman" w:cs="Times New Roman"/>
          <w:i/>
          <w:iCs/>
          <w:color w:val="999999"/>
          <w:kern w:val="0"/>
          <w:lang w:eastAsia="ru-RU"/>
          <w14:ligatures w14:val="none"/>
        </w:rPr>
        <w:t>{Абзац сьомий підпункту 1 пункту 5 розділу III виключено на підставі Наказу Міністерства фінансів </w:t>
      </w:r>
      <w:hyperlink r:id="rId18" w:anchor="n21" w:tgtFrame="_blank" w:history="1">
        <w:r w:rsidRPr="00A6450B">
          <w:rPr>
            <w:rFonts w:ascii="Times New Roman" w:eastAsia="Times New Roman" w:hAnsi="Times New Roman" w:cs="Times New Roman"/>
            <w:i/>
            <w:iCs/>
            <w:color w:val="666666"/>
            <w:kern w:val="0"/>
            <w:u w:val="single"/>
            <w:lang w:eastAsia="ru-RU"/>
            <w14:ligatures w14:val="none"/>
          </w:rPr>
          <w:t>№ 655 від 10.12.2021</w:t>
        </w:r>
      </w:hyperlink>
      <w:r w:rsidRPr="00A6450B">
        <w:rPr>
          <w:rFonts w:ascii="Times New Roman" w:eastAsia="Times New Roman" w:hAnsi="Times New Roman" w:cs="Times New Roman"/>
          <w:i/>
          <w:iCs/>
          <w:color w:val="999999"/>
          <w:kern w:val="0"/>
          <w:lang w:eastAsia="ru-RU"/>
          <w14:ligatures w14:val="none"/>
        </w:rPr>
        <w:t>}</w:t>
      </w:r>
    </w:p>
    <w:p w14:paraId="44AF8462"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80" w:name="n924"/>
      <w:bookmarkEnd w:id="80"/>
      <w:r w:rsidRPr="00A6450B">
        <w:rPr>
          <w:rFonts w:ascii="Times New Roman" w:eastAsia="Times New Roman" w:hAnsi="Times New Roman" w:cs="Times New Roman"/>
          <w:color w:val="333333"/>
          <w:kern w:val="0"/>
          <w:lang w:eastAsia="ru-RU"/>
          <w14:ligatures w14:val="none"/>
        </w:rPr>
        <w:t>здійснення зовнішньоекономічних операцій через нерезидентів - засновників та нерезидентів, зареєстрованих в офшорних зонах, за непрямими поставками у сумі операцій понад 5 млн грн або понад 5 відсотків загальних обсягів постачання, але не менше ніж 100 тис.грн;</w:t>
      </w:r>
    </w:p>
    <w:p w14:paraId="1C766C6F"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81" w:name="n925"/>
      <w:bookmarkEnd w:id="81"/>
      <w:r w:rsidRPr="00A6450B">
        <w:rPr>
          <w:rFonts w:ascii="Times New Roman" w:eastAsia="Times New Roman" w:hAnsi="Times New Roman" w:cs="Times New Roman"/>
          <w:color w:val="333333"/>
          <w:kern w:val="0"/>
          <w:lang w:eastAsia="ru-RU"/>
          <w14:ligatures w14:val="none"/>
        </w:rPr>
        <w:t>наявність інформації правоохоронних органів, структурних підрозділів органів ДПС про ухилення від оподаткування та/або щодо взаємовідносин із платниками податків:</w:t>
      </w:r>
    </w:p>
    <w:p w14:paraId="062AA715"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82" w:name="n926"/>
      <w:bookmarkEnd w:id="82"/>
      <w:r w:rsidRPr="00A6450B">
        <w:rPr>
          <w:rFonts w:ascii="Times New Roman" w:eastAsia="Times New Roman" w:hAnsi="Times New Roman" w:cs="Times New Roman"/>
          <w:color w:val="333333"/>
          <w:kern w:val="0"/>
          <w:lang w:eastAsia="ru-RU"/>
          <w14:ligatures w14:val="none"/>
        </w:rPr>
        <w:t>які мають ознаки фіктивності;</w:t>
      </w:r>
    </w:p>
    <w:p w14:paraId="2D58926B"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83" w:name="n927"/>
      <w:bookmarkEnd w:id="83"/>
      <w:r w:rsidRPr="00A6450B">
        <w:rPr>
          <w:rFonts w:ascii="Times New Roman" w:eastAsia="Times New Roman" w:hAnsi="Times New Roman" w:cs="Times New Roman"/>
          <w:color w:val="333333"/>
          <w:kern w:val="0"/>
          <w:lang w:eastAsia="ru-RU"/>
          <w14:ligatures w14:val="none"/>
        </w:rPr>
        <w:t>реєстрацію яких скасовано у судовому порядку;</w:t>
      </w:r>
    </w:p>
    <w:p w14:paraId="39F5D8C8"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84" w:name="n928"/>
      <w:bookmarkEnd w:id="84"/>
      <w:r w:rsidRPr="00A6450B">
        <w:rPr>
          <w:rFonts w:ascii="Times New Roman" w:eastAsia="Times New Roman" w:hAnsi="Times New Roman" w:cs="Times New Roman"/>
          <w:color w:val="333333"/>
          <w:kern w:val="0"/>
          <w:lang w:eastAsia="ru-RU"/>
          <w14:ligatures w14:val="none"/>
        </w:rPr>
        <w:lastRenderedPageBreak/>
        <w:t>стосовно яких встановлено факт неподання податкової звітності протягом двох податкових (звітних) періодів;</w:t>
      </w:r>
    </w:p>
    <w:p w14:paraId="278A3631"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85" w:name="n929"/>
      <w:bookmarkEnd w:id="85"/>
      <w:r w:rsidRPr="00A6450B">
        <w:rPr>
          <w:rFonts w:ascii="Times New Roman" w:eastAsia="Times New Roman" w:hAnsi="Times New Roman" w:cs="Times New Roman"/>
          <w:color w:val="333333"/>
          <w:kern w:val="0"/>
          <w:lang w:eastAsia="ru-RU"/>
          <w14:ligatures w14:val="none"/>
        </w:rPr>
        <w:t>які знаходяться в розшуку;</w:t>
      </w:r>
    </w:p>
    <w:p w14:paraId="7C4DBEDA"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86" w:name="n930"/>
      <w:bookmarkEnd w:id="86"/>
      <w:r w:rsidRPr="00A6450B">
        <w:rPr>
          <w:rFonts w:ascii="Times New Roman" w:eastAsia="Times New Roman" w:hAnsi="Times New Roman" w:cs="Times New Roman"/>
          <w:color w:val="333333"/>
          <w:kern w:val="0"/>
          <w:lang w:eastAsia="ru-RU"/>
          <w14:ligatures w14:val="none"/>
        </w:rPr>
        <w:t>які визнані банкрутами;</w:t>
      </w:r>
    </w:p>
    <w:p w14:paraId="4D9FB538"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87" w:name="n931"/>
      <w:bookmarkEnd w:id="87"/>
      <w:r w:rsidRPr="00A6450B">
        <w:rPr>
          <w:rFonts w:ascii="Times New Roman" w:eastAsia="Times New Roman" w:hAnsi="Times New Roman" w:cs="Times New Roman"/>
          <w:color w:val="333333"/>
          <w:kern w:val="0"/>
          <w:lang w:eastAsia="ru-RU"/>
          <w14:ligatures w14:val="none"/>
        </w:rPr>
        <w:t>щодо яких порушено кримінальні справи, які пов’язані з ухиленням від сплати податків, зборів (платежів), єдиного внеску та страхових внесків на загальнообов’язкове державне пенсійне страхування;</w:t>
      </w:r>
    </w:p>
    <w:p w14:paraId="02F80123"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88" w:name="n932"/>
      <w:bookmarkEnd w:id="88"/>
      <w:r w:rsidRPr="00A6450B">
        <w:rPr>
          <w:rFonts w:ascii="Times New Roman" w:eastAsia="Times New Roman" w:hAnsi="Times New Roman" w:cs="Times New Roman"/>
          <w:color w:val="333333"/>
          <w:kern w:val="0"/>
          <w:lang w:eastAsia="ru-RU"/>
          <w14:ligatures w14:val="none"/>
        </w:rPr>
        <w:t>здійснення виплати доходів (відсотки, роялті, лізингові платежі тощо) нерезидентам, зареєстрованим в офшорних зонах;</w:t>
      </w:r>
    </w:p>
    <w:p w14:paraId="7F503C61" w14:textId="77777777" w:rsidR="00A6450B" w:rsidRPr="00A6450B" w:rsidRDefault="00A6450B" w:rsidP="00A6450B">
      <w:pPr>
        <w:spacing w:after="100" w:afterAutospacing="1" w:line="240" w:lineRule="auto"/>
        <w:rPr>
          <w:rFonts w:ascii="Times New Roman" w:eastAsia="Times New Roman" w:hAnsi="Times New Roman" w:cs="Times New Roman"/>
          <w:color w:val="333333"/>
          <w:kern w:val="0"/>
          <w:lang w:eastAsia="ru-RU"/>
          <w14:ligatures w14:val="none"/>
        </w:rPr>
      </w:pPr>
      <w:bookmarkStart w:id="89" w:name="n933"/>
      <w:bookmarkEnd w:id="89"/>
      <w:r w:rsidRPr="00A6450B">
        <w:rPr>
          <w:rFonts w:ascii="Times New Roman" w:eastAsia="Times New Roman" w:hAnsi="Times New Roman" w:cs="Times New Roman"/>
          <w:color w:val="333333"/>
          <w:kern w:val="0"/>
          <w:lang w:eastAsia="ru-RU"/>
          <w14:ligatures w14:val="none"/>
        </w:rPr>
        <w:t>інші операційні витрати перевищують 30 відсотків загальних витрат операційної діяльності;</w:t>
      </w:r>
    </w:p>
    <w:p w14:paraId="44295CF0" w14:textId="77777777" w:rsidR="00A6450B" w:rsidRPr="00A6450B" w:rsidRDefault="00A6450B" w:rsidP="00A6450B">
      <w:pPr>
        <w:spacing w:after="150" w:line="240" w:lineRule="auto"/>
        <w:jc w:val="center"/>
        <w:rPr>
          <w:rFonts w:ascii="Times New Roman" w:eastAsia="Times New Roman" w:hAnsi="Times New Roman" w:cs="Times New Roman"/>
          <w:i/>
          <w:iCs/>
          <w:color w:val="999999"/>
          <w:kern w:val="0"/>
          <w:lang w:eastAsia="ru-RU"/>
          <w14:ligatures w14:val="none"/>
        </w:rPr>
      </w:pPr>
      <w:bookmarkStart w:id="90" w:name="n1159"/>
      <w:bookmarkEnd w:id="90"/>
      <w:r w:rsidRPr="00A6450B">
        <w:rPr>
          <w:rFonts w:ascii="Times New Roman" w:eastAsia="Times New Roman" w:hAnsi="Times New Roman" w:cs="Times New Roman"/>
          <w:i/>
          <w:iCs/>
          <w:color w:val="999999"/>
          <w:kern w:val="0"/>
          <w:lang w:eastAsia="ru-RU"/>
          <w14:ligatures w14:val="none"/>
        </w:rPr>
        <w:t>{Абзац шістнадцятий підпункту 1 пункту 5 розділу III із змінами, внесеними згідно з Наказом Міністерства фінансів </w:t>
      </w:r>
      <w:hyperlink r:id="rId19" w:anchor="n21" w:tgtFrame="_blank" w:history="1">
        <w:r w:rsidRPr="00A6450B">
          <w:rPr>
            <w:rFonts w:ascii="Times New Roman" w:eastAsia="Times New Roman" w:hAnsi="Times New Roman" w:cs="Times New Roman"/>
            <w:i/>
            <w:iCs/>
            <w:color w:val="666666"/>
            <w:kern w:val="0"/>
            <w:u w:val="single"/>
            <w:lang w:eastAsia="ru-RU"/>
            <w14:ligatures w14:val="none"/>
          </w:rPr>
          <w:t>№ 655 від 10.12.2021</w:t>
        </w:r>
      </w:hyperlink>
      <w:r w:rsidRPr="00A6450B">
        <w:rPr>
          <w:rFonts w:ascii="Times New Roman" w:eastAsia="Times New Roman" w:hAnsi="Times New Roman" w:cs="Times New Roman"/>
          <w:i/>
          <w:iCs/>
          <w:color w:val="999999"/>
          <w:kern w:val="0"/>
          <w:lang w:eastAsia="ru-RU"/>
          <w14:ligatures w14:val="none"/>
        </w:rPr>
        <w:t>}</w:t>
      </w:r>
    </w:p>
    <w:p w14:paraId="01DF2BCC"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91" w:name="n934"/>
      <w:bookmarkEnd w:id="91"/>
      <w:r w:rsidRPr="00A6450B">
        <w:rPr>
          <w:rFonts w:ascii="Times New Roman" w:eastAsia="Times New Roman" w:hAnsi="Times New Roman" w:cs="Times New Roman"/>
          <w:color w:val="333333"/>
          <w:kern w:val="0"/>
          <w:lang w:eastAsia="ru-RU"/>
          <w14:ligatures w14:val="none"/>
        </w:rPr>
        <w:t>декларування обсягу нарахованих/виплачених доходів нерезидента, з яких не утримано суми податку, за винятком дивідендів, понад 10 млн грн;</w:t>
      </w:r>
    </w:p>
    <w:p w14:paraId="699FE4F5"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92" w:name="n935"/>
      <w:bookmarkEnd w:id="92"/>
      <w:r w:rsidRPr="00A6450B">
        <w:rPr>
          <w:rFonts w:ascii="Times New Roman" w:eastAsia="Times New Roman" w:hAnsi="Times New Roman" w:cs="Times New Roman"/>
          <w:color w:val="333333"/>
          <w:kern w:val="0"/>
          <w:lang w:eastAsia="ru-RU"/>
          <w14:ligatures w14:val="none"/>
        </w:rPr>
        <w:t>декларування від’ємного значення фінансового результату від операційної діяльності;</w:t>
      </w:r>
    </w:p>
    <w:p w14:paraId="361F7F85"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93" w:name="n936"/>
      <w:bookmarkEnd w:id="93"/>
      <w:r w:rsidRPr="00A6450B">
        <w:rPr>
          <w:rFonts w:ascii="Times New Roman" w:eastAsia="Times New Roman" w:hAnsi="Times New Roman" w:cs="Times New Roman"/>
          <w:color w:val="333333"/>
          <w:kern w:val="0"/>
          <w:lang w:eastAsia="ru-RU"/>
          <w14:ligatures w14:val="none"/>
        </w:rPr>
        <w:t>наявність в органів ДПС оригіналів розрахункових документів, що не передані до органів ДПС дротовими або бездротовими каналами зв’язку у вигляді електронних копій розрахункових документів, які містяться на контрольній стрічці в пам’яті реєстраторів розрахункових операцій або в пам’яті модемів, які до них приєднані;</w:t>
      </w:r>
    </w:p>
    <w:p w14:paraId="716BED1A"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94" w:name="n937"/>
      <w:bookmarkEnd w:id="94"/>
      <w:r w:rsidRPr="00A6450B">
        <w:rPr>
          <w:rFonts w:ascii="Times New Roman" w:eastAsia="Times New Roman" w:hAnsi="Times New Roman" w:cs="Times New Roman"/>
          <w:color w:val="333333"/>
          <w:kern w:val="0"/>
          <w:lang w:eastAsia="ru-RU"/>
          <w14:ligatures w14:val="none"/>
        </w:rPr>
        <w:t>наявність інформації про ухилення від оподаткування, отриманої із зовнішніх джерел;</w:t>
      </w:r>
    </w:p>
    <w:p w14:paraId="5473EBD7"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95" w:name="n938"/>
      <w:bookmarkEnd w:id="95"/>
      <w:r w:rsidRPr="00A6450B">
        <w:rPr>
          <w:rFonts w:ascii="Times New Roman" w:eastAsia="Times New Roman" w:hAnsi="Times New Roman" w:cs="Times New Roman"/>
          <w:color w:val="333333"/>
          <w:kern w:val="0"/>
          <w:lang w:eastAsia="ru-RU"/>
          <w14:ligatures w14:val="none"/>
        </w:rPr>
        <w:t>здійснення платниками податків коригування звітності шляхом зменшення фінансового результату до оподаткування, визначеного у фінансовій звітності підприємства відповідно до національних положень (стандартів) бухгалтерського обліку або міжнародних стандартів фінансової звітності, на різниці понад 30 відсотків;</w:t>
      </w:r>
    </w:p>
    <w:p w14:paraId="7E2B786F"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96" w:name="n939"/>
      <w:bookmarkEnd w:id="96"/>
      <w:r w:rsidRPr="00A6450B">
        <w:rPr>
          <w:rFonts w:ascii="Times New Roman" w:eastAsia="Times New Roman" w:hAnsi="Times New Roman" w:cs="Times New Roman"/>
          <w:color w:val="333333"/>
          <w:kern w:val="0"/>
          <w:lang w:eastAsia="ru-RU"/>
          <w14:ligatures w14:val="none"/>
        </w:rPr>
        <w:t>здійснення операцій з реалізації продукції (товарів, робіт, послуг) нижче собівартості;</w:t>
      </w:r>
    </w:p>
    <w:p w14:paraId="64B838A7"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97" w:name="n940"/>
      <w:bookmarkEnd w:id="97"/>
      <w:r w:rsidRPr="00A6450B">
        <w:rPr>
          <w:rFonts w:ascii="Times New Roman" w:eastAsia="Times New Roman" w:hAnsi="Times New Roman" w:cs="Times New Roman"/>
          <w:color w:val="333333"/>
          <w:kern w:val="0"/>
          <w:lang w:eastAsia="ru-RU"/>
          <w14:ligatures w14:val="none"/>
        </w:rPr>
        <w:t>різниця між собівартістю реалізованої продукції (товарів, робіт, послуг) та чистим доходом від реалізації продукції (товарів, робіт, послуг) не перевищує 10 відсотків собівартості реалізованої продукції;</w:t>
      </w:r>
    </w:p>
    <w:p w14:paraId="0A6241F4" w14:textId="77777777" w:rsidR="00A6450B" w:rsidRPr="00A6450B" w:rsidRDefault="00A6450B" w:rsidP="00A6450B">
      <w:pPr>
        <w:spacing w:after="150" w:line="240" w:lineRule="auto"/>
        <w:ind w:firstLine="450"/>
        <w:jc w:val="both"/>
        <w:rPr>
          <w:rFonts w:ascii="Times New Roman" w:eastAsia="Times New Roman" w:hAnsi="Times New Roman" w:cs="Times New Roman"/>
          <w:i/>
          <w:iCs/>
          <w:color w:val="999999"/>
          <w:kern w:val="0"/>
          <w:lang w:eastAsia="ru-RU"/>
          <w14:ligatures w14:val="none"/>
        </w:rPr>
      </w:pPr>
      <w:bookmarkStart w:id="98" w:name="n941"/>
      <w:bookmarkEnd w:id="98"/>
      <w:r w:rsidRPr="00A6450B">
        <w:rPr>
          <w:rFonts w:ascii="Times New Roman" w:eastAsia="Times New Roman" w:hAnsi="Times New Roman" w:cs="Times New Roman"/>
          <w:i/>
          <w:iCs/>
          <w:color w:val="999999"/>
          <w:kern w:val="0"/>
          <w:lang w:eastAsia="ru-RU"/>
          <w14:ligatures w14:val="none"/>
        </w:rPr>
        <w:t>{Абзац двадцять четвертий підпункту 1 пункту 5 розділу III виключено на підставі Наказу Міністерства фінансів </w:t>
      </w:r>
      <w:hyperlink r:id="rId20" w:anchor="n21" w:tgtFrame="_blank" w:history="1">
        <w:r w:rsidRPr="00A6450B">
          <w:rPr>
            <w:rFonts w:ascii="Times New Roman" w:eastAsia="Times New Roman" w:hAnsi="Times New Roman" w:cs="Times New Roman"/>
            <w:i/>
            <w:iCs/>
            <w:color w:val="666666"/>
            <w:kern w:val="0"/>
            <w:u w:val="single"/>
            <w:lang w:eastAsia="ru-RU"/>
            <w14:ligatures w14:val="none"/>
          </w:rPr>
          <w:t>№ 655 від 10.12.2021</w:t>
        </w:r>
      </w:hyperlink>
      <w:r w:rsidRPr="00A6450B">
        <w:rPr>
          <w:rFonts w:ascii="Times New Roman" w:eastAsia="Times New Roman" w:hAnsi="Times New Roman" w:cs="Times New Roman"/>
          <w:i/>
          <w:iCs/>
          <w:color w:val="999999"/>
          <w:kern w:val="0"/>
          <w:lang w:eastAsia="ru-RU"/>
          <w14:ligatures w14:val="none"/>
        </w:rPr>
        <w:t>}</w:t>
      </w:r>
    </w:p>
    <w:p w14:paraId="7688D49A"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99" w:name="n942"/>
      <w:bookmarkEnd w:id="99"/>
      <w:r w:rsidRPr="00A6450B">
        <w:rPr>
          <w:rFonts w:ascii="Times New Roman" w:eastAsia="Times New Roman" w:hAnsi="Times New Roman" w:cs="Times New Roman"/>
          <w:color w:val="333333"/>
          <w:kern w:val="0"/>
          <w:lang w:eastAsia="ru-RU"/>
          <w14:ligatures w14:val="none"/>
        </w:rPr>
        <w:t>зростання удвічі та більше кредиторської заборгованості за продукцію (товари, роботи, послуги) протягом двох попередніх (звітних) років при зростанні запасів;</w:t>
      </w:r>
    </w:p>
    <w:p w14:paraId="7A51032A"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00" w:name="n943"/>
      <w:bookmarkEnd w:id="100"/>
      <w:r w:rsidRPr="00A6450B">
        <w:rPr>
          <w:rFonts w:ascii="Times New Roman" w:eastAsia="Times New Roman" w:hAnsi="Times New Roman" w:cs="Times New Roman"/>
          <w:color w:val="333333"/>
          <w:kern w:val="0"/>
          <w:lang w:eastAsia="ru-RU"/>
          <w14:ligatures w14:val="none"/>
        </w:rPr>
        <w:t>сума інших операційних витрат, витрат на збут та адміністративних витрат перевищує собівартість реалізованої продукції (товарів, робіт, послуг);</w:t>
      </w:r>
    </w:p>
    <w:p w14:paraId="10F35FC4"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01" w:name="n944"/>
      <w:bookmarkEnd w:id="101"/>
      <w:r w:rsidRPr="00A6450B">
        <w:rPr>
          <w:rFonts w:ascii="Times New Roman" w:eastAsia="Times New Roman" w:hAnsi="Times New Roman" w:cs="Times New Roman"/>
          <w:color w:val="333333"/>
          <w:kern w:val="0"/>
          <w:lang w:eastAsia="ru-RU"/>
          <w14:ligatures w14:val="none"/>
        </w:rPr>
        <w:t>інші операційні витрати перевищують суму матеріальних затрат та витрат на оплату праці;</w:t>
      </w:r>
    </w:p>
    <w:p w14:paraId="63AD9F45"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02" w:name="n945"/>
      <w:bookmarkEnd w:id="102"/>
      <w:r w:rsidRPr="00A6450B">
        <w:rPr>
          <w:rFonts w:ascii="Times New Roman" w:eastAsia="Times New Roman" w:hAnsi="Times New Roman" w:cs="Times New Roman"/>
          <w:color w:val="333333"/>
          <w:kern w:val="0"/>
          <w:lang w:eastAsia="ru-RU"/>
          <w14:ligatures w14:val="none"/>
        </w:rPr>
        <w:lastRenderedPageBreak/>
        <w:t>рівень сплати податку на прибуток знизився на 50 та більше відсотків порівняно з календарним роком, що передував останній документальній плановій перевірці платника податків;</w:t>
      </w:r>
    </w:p>
    <w:p w14:paraId="16C3F555"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03" w:name="n946"/>
      <w:bookmarkEnd w:id="103"/>
      <w:r w:rsidRPr="00A6450B">
        <w:rPr>
          <w:rFonts w:ascii="Times New Roman" w:eastAsia="Times New Roman" w:hAnsi="Times New Roman" w:cs="Times New Roman"/>
          <w:color w:val="333333"/>
          <w:kern w:val="0"/>
          <w:lang w:eastAsia="ru-RU"/>
          <w14:ligatures w14:val="none"/>
        </w:rPr>
        <w:t>наявність інформації в судових рішеннях за </w:t>
      </w:r>
      <w:hyperlink r:id="rId21" w:anchor="n1273" w:tgtFrame="_blank" w:history="1">
        <w:r w:rsidRPr="00A6450B">
          <w:rPr>
            <w:rFonts w:ascii="Times New Roman" w:eastAsia="Times New Roman" w:hAnsi="Times New Roman" w:cs="Times New Roman"/>
            <w:color w:val="000099"/>
            <w:kern w:val="0"/>
            <w:u w:val="single"/>
            <w:lang w:eastAsia="ru-RU"/>
            <w14:ligatures w14:val="none"/>
          </w:rPr>
          <w:t>статтями 191</w:t>
        </w:r>
      </w:hyperlink>
      <w:r w:rsidRPr="00A6450B">
        <w:rPr>
          <w:rFonts w:ascii="Times New Roman" w:eastAsia="Times New Roman" w:hAnsi="Times New Roman" w:cs="Times New Roman"/>
          <w:color w:val="333333"/>
          <w:kern w:val="0"/>
          <w:lang w:eastAsia="ru-RU"/>
          <w14:ligatures w14:val="none"/>
        </w:rPr>
        <w:t>, </w:t>
      </w:r>
      <w:hyperlink r:id="rId22" w:anchor="n1447" w:tgtFrame="_blank" w:history="1">
        <w:r w:rsidRPr="00A6450B">
          <w:rPr>
            <w:rFonts w:ascii="Times New Roman" w:eastAsia="Times New Roman" w:hAnsi="Times New Roman" w:cs="Times New Roman"/>
            <w:color w:val="000099"/>
            <w:kern w:val="0"/>
            <w:u w:val="single"/>
            <w:lang w:eastAsia="ru-RU"/>
            <w14:ligatures w14:val="none"/>
          </w:rPr>
          <w:t>212</w:t>
        </w:r>
      </w:hyperlink>
      <w:r w:rsidRPr="00A6450B">
        <w:rPr>
          <w:rFonts w:ascii="Times New Roman" w:eastAsia="Times New Roman" w:hAnsi="Times New Roman" w:cs="Times New Roman"/>
          <w:color w:val="333333"/>
          <w:kern w:val="0"/>
          <w:lang w:eastAsia="ru-RU"/>
          <w14:ligatures w14:val="none"/>
        </w:rPr>
        <w:t>, </w:t>
      </w:r>
      <w:hyperlink r:id="rId23" w:anchor="n2583" w:tgtFrame="_blank" w:history="1">
        <w:r w:rsidRPr="00A6450B">
          <w:rPr>
            <w:rFonts w:ascii="Times New Roman" w:eastAsia="Times New Roman" w:hAnsi="Times New Roman" w:cs="Times New Roman"/>
            <w:color w:val="000099"/>
            <w:kern w:val="0"/>
            <w:u w:val="single"/>
            <w:lang w:eastAsia="ru-RU"/>
            <w14:ligatures w14:val="none"/>
          </w:rPr>
          <w:t>368</w:t>
        </w:r>
      </w:hyperlink>
      <w:r w:rsidRPr="00A6450B">
        <w:rPr>
          <w:rFonts w:ascii="Times New Roman" w:eastAsia="Times New Roman" w:hAnsi="Times New Roman" w:cs="Times New Roman"/>
          <w:color w:val="333333"/>
          <w:kern w:val="0"/>
          <w:lang w:eastAsia="ru-RU"/>
          <w14:ligatures w14:val="none"/>
        </w:rPr>
        <w:t> Кримінального кодексу України про ризиковий характер діяльності контрагентів платника податків;</w:t>
      </w:r>
    </w:p>
    <w:p w14:paraId="76A77A7E"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04" w:name="n947"/>
      <w:bookmarkEnd w:id="104"/>
      <w:r w:rsidRPr="00A6450B">
        <w:rPr>
          <w:rFonts w:ascii="Times New Roman" w:eastAsia="Times New Roman" w:hAnsi="Times New Roman" w:cs="Times New Roman"/>
          <w:color w:val="333333"/>
          <w:kern w:val="0"/>
          <w:lang w:eastAsia="ru-RU"/>
          <w14:ligatures w14:val="none"/>
        </w:rPr>
        <w:t>невідповідність залишків запасів на складах до обсягів реалізації;</w:t>
      </w:r>
    </w:p>
    <w:p w14:paraId="121331F5"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05" w:name="n948"/>
      <w:bookmarkEnd w:id="105"/>
      <w:r w:rsidRPr="00A6450B">
        <w:rPr>
          <w:rFonts w:ascii="Times New Roman" w:eastAsia="Times New Roman" w:hAnsi="Times New Roman" w:cs="Times New Roman"/>
          <w:color w:val="333333"/>
          <w:kern w:val="0"/>
          <w:lang w:eastAsia="ru-RU"/>
          <w14:ligatures w14:val="none"/>
        </w:rPr>
        <w:t>зменшення вартості основних фондів у значних обсягах при відсутності збільшення сплати податку на прибуток;</w:t>
      </w:r>
    </w:p>
    <w:p w14:paraId="057032FD"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06" w:name="n949"/>
      <w:bookmarkEnd w:id="106"/>
      <w:r w:rsidRPr="00A6450B">
        <w:rPr>
          <w:rFonts w:ascii="Times New Roman" w:eastAsia="Times New Roman" w:hAnsi="Times New Roman" w:cs="Times New Roman"/>
          <w:color w:val="333333"/>
          <w:kern w:val="0"/>
          <w:lang w:eastAsia="ru-RU"/>
          <w14:ligatures w14:val="none"/>
        </w:rPr>
        <w:t>сума довгострокових зобов’язань і забезпечень більше ніж 10 млн грн або перевищує 30 відсотків загальних обсягів постачання;</w:t>
      </w:r>
    </w:p>
    <w:p w14:paraId="3C60C31E" w14:textId="77777777" w:rsidR="00A6450B" w:rsidRPr="00A6450B" w:rsidRDefault="00A6450B" w:rsidP="00A6450B">
      <w:pPr>
        <w:spacing w:after="150" w:line="240" w:lineRule="auto"/>
        <w:jc w:val="center"/>
        <w:rPr>
          <w:rFonts w:ascii="Times New Roman" w:eastAsia="Times New Roman" w:hAnsi="Times New Roman" w:cs="Times New Roman"/>
          <w:i/>
          <w:iCs/>
          <w:color w:val="999999"/>
          <w:kern w:val="0"/>
          <w:lang w:eastAsia="ru-RU"/>
          <w14:ligatures w14:val="none"/>
        </w:rPr>
      </w:pPr>
      <w:bookmarkStart w:id="107" w:name="n1161"/>
      <w:bookmarkEnd w:id="107"/>
      <w:r w:rsidRPr="00A6450B">
        <w:rPr>
          <w:rFonts w:ascii="Times New Roman" w:eastAsia="Times New Roman" w:hAnsi="Times New Roman" w:cs="Times New Roman"/>
          <w:i/>
          <w:iCs/>
          <w:color w:val="999999"/>
          <w:kern w:val="0"/>
          <w:lang w:eastAsia="ru-RU"/>
          <w14:ligatures w14:val="none"/>
        </w:rPr>
        <w:t>{Абзац тридцять перший підпункту 1 пункту 5 розділу III із змінами, внесеними згідно з Наказом Міністерства фінансів </w:t>
      </w:r>
      <w:hyperlink r:id="rId24" w:anchor="n21" w:tgtFrame="_blank" w:history="1">
        <w:r w:rsidRPr="00A6450B">
          <w:rPr>
            <w:rFonts w:ascii="Times New Roman" w:eastAsia="Times New Roman" w:hAnsi="Times New Roman" w:cs="Times New Roman"/>
            <w:i/>
            <w:iCs/>
            <w:color w:val="666666"/>
            <w:kern w:val="0"/>
            <w:u w:val="single"/>
            <w:lang w:eastAsia="ru-RU"/>
            <w14:ligatures w14:val="none"/>
          </w:rPr>
          <w:t>№ 655 від 10.12.2021</w:t>
        </w:r>
      </w:hyperlink>
      <w:r w:rsidRPr="00A6450B">
        <w:rPr>
          <w:rFonts w:ascii="Times New Roman" w:eastAsia="Times New Roman" w:hAnsi="Times New Roman" w:cs="Times New Roman"/>
          <w:i/>
          <w:iCs/>
          <w:color w:val="999999"/>
          <w:kern w:val="0"/>
          <w:lang w:eastAsia="ru-RU"/>
          <w14:ligatures w14:val="none"/>
        </w:rPr>
        <w:t>}</w:t>
      </w:r>
    </w:p>
    <w:p w14:paraId="672A1A02"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08" w:name="n950"/>
      <w:bookmarkEnd w:id="108"/>
      <w:r w:rsidRPr="00A6450B">
        <w:rPr>
          <w:rFonts w:ascii="Times New Roman" w:eastAsia="Times New Roman" w:hAnsi="Times New Roman" w:cs="Times New Roman"/>
          <w:color w:val="333333"/>
          <w:kern w:val="0"/>
          <w:lang w:eastAsia="ru-RU"/>
          <w14:ligatures w14:val="none"/>
        </w:rPr>
        <w:t>дебіторська заборгованість перевищує кредиторську більше ніж у 2 рази;</w:t>
      </w:r>
    </w:p>
    <w:p w14:paraId="55349CD6"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09" w:name="n951"/>
      <w:bookmarkEnd w:id="109"/>
      <w:r w:rsidRPr="00A6450B">
        <w:rPr>
          <w:rFonts w:ascii="Times New Roman" w:eastAsia="Times New Roman" w:hAnsi="Times New Roman" w:cs="Times New Roman"/>
          <w:color w:val="333333"/>
          <w:kern w:val="0"/>
          <w:lang w:eastAsia="ru-RU"/>
          <w14:ligatures w14:val="none"/>
        </w:rPr>
        <w:t>наявність інформації про непідтвердження реального здійснення операцій з продажу із сумою податку на додану вартість понад 1 млн грн або понад 5 відсотків загального обсягу продажу, але не менше ніж 100 тис.грн;</w:t>
      </w:r>
    </w:p>
    <w:p w14:paraId="5E719CF9"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10" w:name="n952"/>
      <w:bookmarkEnd w:id="110"/>
      <w:r w:rsidRPr="00A6450B">
        <w:rPr>
          <w:rFonts w:ascii="Times New Roman" w:eastAsia="Times New Roman" w:hAnsi="Times New Roman" w:cs="Times New Roman"/>
          <w:color w:val="333333"/>
          <w:kern w:val="0"/>
          <w:lang w:eastAsia="ru-RU"/>
          <w14:ligatures w14:val="none"/>
        </w:rPr>
        <w:t>сума розрахованої амортизації основних засобів та нематеріальних активів на 30 відсотків перевищує суму нарахованої амортизації основних засобів та нематеріальних активів відповідно до національних положень (стандартів) бухгалтерського обліку або міжнародних стандартів фінансової звітності;</w:t>
      </w:r>
    </w:p>
    <w:p w14:paraId="479FF77D"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11" w:name="n953"/>
      <w:bookmarkEnd w:id="111"/>
      <w:r w:rsidRPr="00A6450B">
        <w:rPr>
          <w:rFonts w:ascii="Times New Roman" w:eastAsia="Times New Roman" w:hAnsi="Times New Roman" w:cs="Times New Roman"/>
          <w:color w:val="333333"/>
          <w:kern w:val="0"/>
          <w:lang w:eastAsia="ru-RU"/>
          <w14:ligatures w14:val="none"/>
        </w:rPr>
        <w:t>2) середнього ступеня ризику:</w:t>
      </w:r>
    </w:p>
    <w:p w14:paraId="5EE659FD"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12" w:name="n954"/>
      <w:bookmarkEnd w:id="112"/>
      <w:r w:rsidRPr="00A6450B">
        <w:rPr>
          <w:rFonts w:ascii="Times New Roman" w:eastAsia="Times New Roman" w:hAnsi="Times New Roman" w:cs="Times New Roman"/>
          <w:color w:val="333333"/>
          <w:kern w:val="0"/>
          <w:lang w:eastAsia="ru-RU"/>
          <w14:ligatures w14:val="none"/>
        </w:rPr>
        <w:t>декларування від’ємного значення об’єкта оподаткування податком на прибуток протягом двох податкових (звітних) періодів за умови, якщо податковим (звітним) періодом є календарний квартал, або протягом одного податкового (звітного) періоду за умови, якщо податковим (звітним) періодом є календарний рік;</w:t>
      </w:r>
    </w:p>
    <w:p w14:paraId="4617281C"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13" w:name="n955"/>
      <w:bookmarkEnd w:id="113"/>
      <w:r w:rsidRPr="00A6450B">
        <w:rPr>
          <w:rFonts w:ascii="Times New Roman" w:eastAsia="Times New Roman" w:hAnsi="Times New Roman" w:cs="Times New Roman"/>
          <w:color w:val="333333"/>
          <w:kern w:val="0"/>
          <w:lang w:eastAsia="ru-RU"/>
          <w14:ligatures w14:val="none"/>
        </w:rPr>
        <w:t>здійснення експортних операцій щодо товарів, нетипових для основного виду діяльності підприємства (нетиповий експорт), у сумі понад 5 млн грн або понад 5 відсотків загальних обсягів постачання, але не менше ніж 100 тис.грн;</w:t>
      </w:r>
    </w:p>
    <w:p w14:paraId="016A94EA"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14" w:name="n956"/>
      <w:bookmarkEnd w:id="114"/>
      <w:r w:rsidRPr="00A6450B">
        <w:rPr>
          <w:rFonts w:ascii="Times New Roman" w:eastAsia="Times New Roman" w:hAnsi="Times New Roman" w:cs="Times New Roman"/>
          <w:color w:val="333333"/>
          <w:kern w:val="0"/>
          <w:lang w:eastAsia="ru-RU"/>
          <w14:ligatures w14:val="none"/>
        </w:rPr>
        <w:t>декларування суми від’ємного значення, що зараховується до складу податкового кредиту наступного звітного (податкового) періоду, у сумі понад 1 млн грн або понад 5 відсотків загального обсягу податкового кредиту, але не менше ніж 100 тис.грн за останній звітний (податковий) період;</w:t>
      </w:r>
    </w:p>
    <w:p w14:paraId="70DF8735"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15" w:name="n957"/>
      <w:bookmarkEnd w:id="115"/>
      <w:r w:rsidRPr="00A6450B">
        <w:rPr>
          <w:rFonts w:ascii="Times New Roman" w:eastAsia="Times New Roman" w:hAnsi="Times New Roman" w:cs="Times New Roman"/>
          <w:color w:val="333333"/>
          <w:kern w:val="0"/>
          <w:lang w:eastAsia="ru-RU"/>
          <w14:ligatures w14:val="none"/>
        </w:rPr>
        <w:t>відхилення між значеннями фінансового результату до оподаткування (прибуток або збиток), визначеного у фінансовій звітності відповідно до національних положень (стандартів) бухгалтерського обліку або міжнародних стандартів фінансової звітності, задекларованого у податковій звітності, та фінансового результату до оподаткування (прибуток або збиток), задекларованого у фінансовій звітності, понад 10 відсотків;</w:t>
      </w:r>
    </w:p>
    <w:p w14:paraId="4A52F0EB"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16" w:name="n958"/>
      <w:bookmarkEnd w:id="116"/>
      <w:r w:rsidRPr="00A6450B">
        <w:rPr>
          <w:rFonts w:ascii="Times New Roman" w:eastAsia="Times New Roman" w:hAnsi="Times New Roman" w:cs="Times New Roman"/>
          <w:color w:val="333333"/>
          <w:kern w:val="0"/>
          <w:lang w:eastAsia="ru-RU"/>
          <w14:ligatures w14:val="none"/>
        </w:rPr>
        <w:t>нарахування та виплата доходів за ознаками, визначеними </w:t>
      </w:r>
      <w:hyperlink r:id="rId25" w:anchor="n113" w:tgtFrame="_blank" w:history="1">
        <w:r w:rsidRPr="00A6450B">
          <w:rPr>
            <w:rFonts w:ascii="Times New Roman" w:eastAsia="Times New Roman" w:hAnsi="Times New Roman" w:cs="Times New Roman"/>
            <w:color w:val="000099"/>
            <w:kern w:val="0"/>
            <w:u w:val="single"/>
            <w:lang w:eastAsia="ru-RU"/>
            <w14:ligatures w14:val="none"/>
          </w:rPr>
          <w:t>Довідником ознак доходів</w:t>
        </w:r>
      </w:hyperlink>
      <w:r w:rsidRPr="00A6450B">
        <w:rPr>
          <w:rFonts w:ascii="Times New Roman" w:eastAsia="Times New Roman" w:hAnsi="Times New Roman" w:cs="Times New Roman"/>
          <w:color w:val="333333"/>
          <w:kern w:val="0"/>
          <w:lang w:eastAsia="ru-RU"/>
          <w14:ligatures w14:val="none"/>
        </w:rPr>
        <w:t xml:space="preserve">, наведеним у додатку до Порядку заповнення та подання податковими агентами Податкового розрахунку сум доходу, нарахованого (сплаченого) на користь фізичних осіб, і сум утриманого з них податку, затвердженого наказом Міністерства фінансів України від 13 січня 2015 року № 4, зареєстрованого в Міністерстві юстиції України 30 </w:t>
      </w:r>
      <w:r w:rsidRPr="00A6450B">
        <w:rPr>
          <w:rFonts w:ascii="Times New Roman" w:eastAsia="Times New Roman" w:hAnsi="Times New Roman" w:cs="Times New Roman"/>
          <w:color w:val="333333"/>
          <w:kern w:val="0"/>
          <w:lang w:eastAsia="ru-RU"/>
          <w14:ligatures w14:val="none"/>
        </w:rPr>
        <w:lastRenderedPageBreak/>
        <w:t>січня 2015 року за № 111/26556 (далі - Довідник ознак доходів), 101 (заробітна плата, нарахована (виплачена)) та/або 102 (виплати відповідно до умов цивільно-правового договору), без утримання, перерахування до бюджету податку на доходи фізичних осіб та/або єдиного внеску;</w:t>
      </w:r>
    </w:p>
    <w:p w14:paraId="6AF1458E"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17" w:name="n959"/>
      <w:bookmarkEnd w:id="117"/>
      <w:r w:rsidRPr="00A6450B">
        <w:rPr>
          <w:rFonts w:ascii="Times New Roman" w:eastAsia="Times New Roman" w:hAnsi="Times New Roman" w:cs="Times New Roman"/>
          <w:color w:val="333333"/>
          <w:kern w:val="0"/>
          <w:lang w:eastAsia="ru-RU"/>
          <w14:ligatures w14:val="none"/>
        </w:rPr>
        <w:t>зменшення у звітності суми нарахованого єдиного внеску за попередні періоди більше ніж на 20 відсотків загальної суми нарахованого єдиного внеску за останні 12 місяців, що передують звітному;</w:t>
      </w:r>
    </w:p>
    <w:p w14:paraId="45063ECA"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18" w:name="n960"/>
      <w:bookmarkEnd w:id="118"/>
      <w:r w:rsidRPr="00A6450B">
        <w:rPr>
          <w:rFonts w:ascii="Times New Roman" w:eastAsia="Times New Roman" w:hAnsi="Times New Roman" w:cs="Times New Roman"/>
          <w:color w:val="333333"/>
          <w:kern w:val="0"/>
          <w:lang w:eastAsia="ru-RU"/>
          <w14:ligatures w14:val="none"/>
        </w:rPr>
        <w:t>порушення встановлених строків сплати єдиного внеску більше ніж на 365 днів;</w:t>
      </w:r>
    </w:p>
    <w:p w14:paraId="1BA39BEF"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19" w:name="n961"/>
      <w:bookmarkEnd w:id="119"/>
      <w:r w:rsidRPr="00A6450B">
        <w:rPr>
          <w:rFonts w:ascii="Times New Roman" w:eastAsia="Times New Roman" w:hAnsi="Times New Roman" w:cs="Times New Roman"/>
          <w:color w:val="333333"/>
          <w:kern w:val="0"/>
          <w:lang w:eastAsia="ru-RU"/>
          <w14:ligatures w14:val="none"/>
        </w:rPr>
        <w:t>наявність інформації щодо здійснення платником податків операцій з купівлі-продажу та інших способів відчуження цінних паперів, емітенти яких за рішенням Національної комісії з цінних паперів та фондового ринку включені до списку емітентів, що мають ознаки фіктивності;</w:t>
      </w:r>
    </w:p>
    <w:p w14:paraId="6EA1DD6A"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20" w:name="n962"/>
      <w:bookmarkEnd w:id="120"/>
      <w:r w:rsidRPr="00A6450B">
        <w:rPr>
          <w:rFonts w:ascii="Times New Roman" w:eastAsia="Times New Roman" w:hAnsi="Times New Roman" w:cs="Times New Roman"/>
          <w:color w:val="333333"/>
          <w:kern w:val="0"/>
          <w:lang w:eastAsia="ru-RU"/>
          <w14:ligatures w14:val="none"/>
        </w:rPr>
        <w:t>наявність відносин з платниками податків, які обрали спрощену систему оподаткування та є керівниками, засновниками або співробітниками цього підприємства, у сумі операцій понад 5 млн грн або понад 5 відсотків загальних обсягів постачання, але не менше ніж 100 тис.грн;</w:t>
      </w:r>
    </w:p>
    <w:p w14:paraId="52B8112F"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21" w:name="n963"/>
      <w:bookmarkEnd w:id="121"/>
      <w:r w:rsidRPr="00A6450B">
        <w:rPr>
          <w:rFonts w:ascii="Times New Roman" w:eastAsia="Times New Roman" w:hAnsi="Times New Roman" w:cs="Times New Roman"/>
          <w:color w:val="333333"/>
          <w:kern w:val="0"/>
          <w:lang w:eastAsia="ru-RU"/>
          <w14:ligatures w14:val="none"/>
        </w:rPr>
        <w:t>наявність інформації про встановлення порушень порядку погашення векселів, авальованих банком (податкових розписок), які видаються до отримання спирту етилового та біоетанолу, легких та важких дистилятів;</w:t>
      </w:r>
    </w:p>
    <w:p w14:paraId="7A7824A4"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22" w:name="n964"/>
      <w:bookmarkEnd w:id="122"/>
      <w:r w:rsidRPr="00A6450B">
        <w:rPr>
          <w:rFonts w:ascii="Times New Roman" w:eastAsia="Times New Roman" w:hAnsi="Times New Roman" w:cs="Times New Roman"/>
          <w:color w:val="333333"/>
          <w:kern w:val="0"/>
          <w:lang w:eastAsia="ru-RU"/>
          <w14:ligatures w14:val="none"/>
        </w:rPr>
        <w:t>різниці, що виникають при формуванні резервів (забезпечень), та різниці, які зменшують фінансовий результат, у сумі становлять понад 30 відсотків різниць, на які збільшується фінансовий результат;</w:t>
      </w:r>
    </w:p>
    <w:p w14:paraId="6E22AF58"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23" w:name="n965"/>
      <w:bookmarkEnd w:id="123"/>
      <w:r w:rsidRPr="00A6450B">
        <w:rPr>
          <w:rFonts w:ascii="Times New Roman" w:eastAsia="Times New Roman" w:hAnsi="Times New Roman" w:cs="Times New Roman"/>
          <w:color w:val="333333"/>
          <w:kern w:val="0"/>
          <w:lang w:eastAsia="ru-RU"/>
          <w14:ligatures w14:val="none"/>
        </w:rPr>
        <w:t>невідповідність суми сплати акцизного податку з роздрібного продажу підакцизних товарів розрахунковій сумі цього податку із суми загального продажу таких товарів, проведеної через реєстратори розрахункових операцій;</w:t>
      </w:r>
    </w:p>
    <w:p w14:paraId="43ADC844"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24" w:name="n966"/>
      <w:bookmarkEnd w:id="124"/>
      <w:r w:rsidRPr="00A6450B">
        <w:rPr>
          <w:rFonts w:ascii="Times New Roman" w:eastAsia="Times New Roman" w:hAnsi="Times New Roman" w:cs="Times New Roman"/>
          <w:color w:val="333333"/>
          <w:kern w:val="0"/>
          <w:lang w:eastAsia="ru-RU"/>
          <w14:ligatures w14:val="none"/>
        </w:rPr>
        <w:t>здійснення платником податків коригування звітності шляхом зменшення фінансового результату до оподаткування, визначеного у фінансовій звітності підприємства відповідно до національних положень (стандартів) бухгалтерського обліку або міжнародних стандартів фінансової звітності, на різниці від 20 до 30 відсотків;</w:t>
      </w:r>
    </w:p>
    <w:p w14:paraId="7CE8B7EF"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25" w:name="n967"/>
      <w:bookmarkEnd w:id="125"/>
      <w:r w:rsidRPr="00A6450B">
        <w:rPr>
          <w:rFonts w:ascii="Times New Roman" w:eastAsia="Times New Roman" w:hAnsi="Times New Roman" w:cs="Times New Roman"/>
          <w:color w:val="333333"/>
          <w:kern w:val="0"/>
          <w:lang w:eastAsia="ru-RU"/>
          <w14:ligatures w14:val="none"/>
        </w:rPr>
        <w:t>нарахування та виплата доходів за ознакою 157 (дохід, виплачений самозайнятій особі), визначеною </w:t>
      </w:r>
      <w:hyperlink r:id="rId26" w:anchor="n113" w:tgtFrame="_blank" w:history="1">
        <w:r w:rsidRPr="00A6450B">
          <w:rPr>
            <w:rFonts w:ascii="Times New Roman" w:eastAsia="Times New Roman" w:hAnsi="Times New Roman" w:cs="Times New Roman"/>
            <w:color w:val="000099"/>
            <w:kern w:val="0"/>
            <w:u w:val="single"/>
            <w:lang w:eastAsia="ru-RU"/>
            <w14:ligatures w14:val="none"/>
          </w:rPr>
          <w:t>Довідником ознак доходів</w:t>
        </w:r>
      </w:hyperlink>
      <w:r w:rsidRPr="00A6450B">
        <w:rPr>
          <w:rFonts w:ascii="Times New Roman" w:eastAsia="Times New Roman" w:hAnsi="Times New Roman" w:cs="Times New Roman"/>
          <w:color w:val="333333"/>
          <w:kern w:val="0"/>
          <w:lang w:eastAsia="ru-RU"/>
          <w14:ligatures w14:val="none"/>
        </w:rPr>
        <w:t>, у сумі понад 5 відсотків загального обсягу доходу від будь-якої діяльності (за вирахуванням непрямих податків), визначеного за правилами бухгалтерського обліку;</w:t>
      </w:r>
    </w:p>
    <w:p w14:paraId="06E546DC"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26" w:name="n968"/>
      <w:bookmarkEnd w:id="126"/>
      <w:r w:rsidRPr="00A6450B">
        <w:rPr>
          <w:rFonts w:ascii="Times New Roman" w:eastAsia="Times New Roman" w:hAnsi="Times New Roman" w:cs="Times New Roman"/>
          <w:color w:val="333333"/>
          <w:kern w:val="0"/>
          <w:lang w:eastAsia="ru-RU"/>
          <w14:ligatures w14:val="none"/>
        </w:rPr>
        <w:t>наявність інформації про об’єкти оподаткування у платника податків, який не сплачує плату за землю або сплачує її в неповному обсязі, а також задекларував податкові зобов’язання без документів, які надають право використовувати земельні ділянки;</w:t>
      </w:r>
    </w:p>
    <w:p w14:paraId="24DC2324"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27" w:name="n969"/>
      <w:bookmarkEnd w:id="127"/>
      <w:r w:rsidRPr="00A6450B">
        <w:rPr>
          <w:rFonts w:ascii="Times New Roman" w:eastAsia="Times New Roman" w:hAnsi="Times New Roman" w:cs="Times New Roman"/>
          <w:color w:val="333333"/>
          <w:kern w:val="0"/>
          <w:lang w:eastAsia="ru-RU"/>
          <w14:ligatures w14:val="none"/>
        </w:rPr>
        <w:t>наявність розбіжностей у платника податків між даними податкової декларації з податку на додану вартість та Єдиного реєстру податкових накладних у сумі понад 1 млн грн або понад 5 відсотків загальних обсягів податкового кредиту, але не менше ніж 100 тис.грн;</w:t>
      </w:r>
    </w:p>
    <w:p w14:paraId="2C3CDEEA" w14:textId="77777777" w:rsidR="00A6450B" w:rsidRPr="00A6450B" w:rsidRDefault="00A6450B" w:rsidP="00A6450B">
      <w:pPr>
        <w:spacing w:after="150" w:line="240" w:lineRule="auto"/>
        <w:jc w:val="center"/>
        <w:rPr>
          <w:rFonts w:ascii="Times New Roman" w:eastAsia="Times New Roman" w:hAnsi="Times New Roman" w:cs="Times New Roman"/>
          <w:i/>
          <w:iCs/>
          <w:color w:val="999999"/>
          <w:kern w:val="0"/>
          <w:lang w:eastAsia="ru-RU"/>
          <w14:ligatures w14:val="none"/>
        </w:rPr>
      </w:pPr>
      <w:bookmarkStart w:id="128" w:name="n1163"/>
      <w:bookmarkEnd w:id="128"/>
      <w:r w:rsidRPr="00A6450B">
        <w:rPr>
          <w:rFonts w:ascii="Times New Roman" w:eastAsia="Times New Roman" w:hAnsi="Times New Roman" w:cs="Times New Roman"/>
          <w:i/>
          <w:iCs/>
          <w:color w:val="999999"/>
          <w:kern w:val="0"/>
          <w:lang w:eastAsia="ru-RU"/>
          <w14:ligatures w14:val="none"/>
        </w:rPr>
        <w:t>{Абзац сімнадцятий підпункту 2 пункту 5 розділу III в редакції Наказу Міністерства фінансів </w:t>
      </w:r>
      <w:hyperlink r:id="rId27" w:anchor="n21" w:tgtFrame="_blank" w:history="1">
        <w:r w:rsidRPr="00A6450B">
          <w:rPr>
            <w:rFonts w:ascii="Times New Roman" w:eastAsia="Times New Roman" w:hAnsi="Times New Roman" w:cs="Times New Roman"/>
            <w:i/>
            <w:iCs/>
            <w:color w:val="666666"/>
            <w:kern w:val="0"/>
            <w:u w:val="single"/>
            <w:lang w:eastAsia="ru-RU"/>
            <w14:ligatures w14:val="none"/>
          </w:rPr>
          <w:t>№ 655 від 10.12.2021</w:t>
        </w:r>
      </w:hyperlink>
      <w:r w:rsidRPr="00A6450B">
        <w:rPr>
          <w:rFonts w:ascii="Times New Roman" w:eastAsia="Times New Roman" w:hAnsi="Times New Roman" w:cs="Times New Roman"/>
          <w:i/>
          <w:iCs/>
          <w:color w:val="999999"/>
          <w:kern w:val="0"/>
          <w:lang w:eastAsia="ru-RU"/>
          <w14:ligatures w14:val="none"/>
        </w:rPr>
        <w:t>}</w:t>
      </w:r>
    </w:p>
    <w:p w14:paraId="364091BF" w14:textId="77777777" w:rsidR="00A6450B" w:rsidRPr="00A6450B" w:rsidRDefault="00A6450B" w:rsidP="00A6450B">
      <w:pPr>
        <w:spacing w:after="150" w:line="240" w:lineRule="auto"/>
        <w:ind w:firstLine="450"/>
        <w:jc w:val="both"/>
        <w:rPr>
          <w:rFonts w:ascii="Times New Roman" w:eastAsia="Times New Roman" w:hAnsi="Times New Roman" w:cs="Times New Roman"/>
          <w:i/>
          <w:iCs/>
          <w:color w:val="999999"/>
          <w:kern w:val="0"/>
          <w:lang w:eastAsia="ru-RU"/>
          <w14:ligatures w14:val="none"/>
        </w:rPr>
      </w:pPr>
      <w:bookmarkStart w:id="129" w:name="n970"/>
      <w:bookmarkEnd w:id="129"/>
      <w:r w:rsidRPr="00A6450B">
        <w:rPr>
          <w:rFonts w:ascii="Times New Roman" w:eastAsia="Times New Roman" w:hAnsi="Times New Roman" w:cs="Times New Roman"/>
          <w:i/>
          <w:iCs/>
          <w:color w:val="999999"/>
          <w:kern w:val="0"/>
          <w:lang w:eastAsia="ru-RU"/>
          <w14:ligatures w14:val="none"/>
        </w:rPr>
        <w:lastRenderedPageBreak/>
        <w:t>{Абзац вісімнадцятий підпункту 2 пункту 5 розділу III виключено на підставі Наказу Міністерства фінансів </w:t>
      </w:r>
      <w:hyperlink r:id="rId28" w:anchor="n21" w:tgtFrame="_blank" w:history="1">
        <w:r w:rsidRPr="00A6450B">
          <w:rPr>
            <w:rFonts w:ascii="Times New Roman" w:eastAsia="Times New Roman" w:hAnsi="Times New Roman" w:cs="Times New Roman"/>
            <w:i/>
            <w:iCs/>
            <w:color w:val="666666"/>
            <w:kern w:val="0"/>
            <w:u w:val="single"/>
            <w:lang w:eastAsia="ru-RU"/>
            <w14:ligatures w14:val="none"/>
          </w:rPr>
          <w:t>№ 655 від 10.12.2021</w:t>
        </w:r>
      </w:hyperlink>
      <w:r w:rsidRPr="00A6450B">
        <w:rPr>
          <w:rFonts w:ascii="Times New Roman" w:eastAsia="Times New Roman" w:hAnsi="Times New Roman" w:cs="Times New Roman"/>
          <w:i/>
          <w:iCs/>
          <w:color w:val="999999"/>
          <w:kern w:val="0"/>
          <w:lang w:eastAsia="ru-RU"/>
          <w14:ligatures w14:val="none"/>
        </w:rPr>
        <w:t>}</w:t>
      </w:r>
    </w:p>
    <w:p w14:paraId="662424F3"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30" w:name="n971"/>
      <w:bookmarkEnd w:id="130"/>
      <w:r w:rsidRPr="00A6450B">
        <w:rPr>
          <w:rFonts w:ascii="Times New Roman" w:eastAsia="Times New Roman" w:hAnsi="Times New Roman" w:cs="Times New Roman"/>
          <w:color w:val="333333"/>
          <w:kern w:val="0"/>
          <w:lang w:eastAsia="ru-RU"/>
          <w14:ligatures w14:val="none"/>
        </w:rPr>
        <w:t>інші операційні витрати більші за інші операційні доходи;</w:t>
      </w:r>
    </w:p>
    <w:p w14:paraId="13AA72F2"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31" w:name="n972"/>
      <w:bookmarkEnd w:id="131"/>
      <w:r w:rsidRPr="00A6450B">
        <w:rPr>
          <w:rFonts w:ascii="Times New Roman" w:eastAsia="Times New Roman" w:hAnsi="Times New Roman" w:cs="Times New Roman"/>
          <w:color w:val="333333"/>
          <w:kern w:val="0"/>
          <w:lang w:eastAsia="ru-RU"/>
          <w14:ligatures w14:val="none"/>
        </w:rPr>
        <w:t>наявність у Системі електронного адміністрування реалізації пального від’ємного ліміту пального;</w:t>
      </w:r>
    </w:p>
    <w:p w14:paraId="0D085A46"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32" w:name="n973"/>
      <w:bookmarkEnd w:id="132"/>
      <w:r w:rsidRPr="00A6450B">
        <w:rPr>
          <w:rFonts w:ascii="Times New Roman" w:eastAsia="Times New Roman" w:hAnsi="Times New Roman" w:cs="Times New Roman"/>
          <w:color w:val="333333"/>
          <w:kern w:val="0"/>
          <w:lang w:eastAsia="ru-RU"/>
          <w14:ligatures w14:val="none"/>
        </w:rPr>
        <w:t>наявність розбіжностей між задекларованою сумою обсягів постачання у деклараціях з податку на додану вартість та сумою розрахункових операцій, проведених із застосуванням реєстраторів розрахункових операцій та/або програмних реєстраторів розрахункових операцій, в обсязі, що перевищує 30 відсотків;</w:t>
      </w:r>
    </w:p>
    <w:p w14:paraId="147BF74A" w14:textId="77777777" w:rsidR="00A6450B" w:rsidRPr="00A6450B" w:rsidRDefault="00A6450B" w:rsidP="00A6450B">
      <w:pPr>
        <w:spacing w:after="150" w:line="240" w:lineRule="auto"/>
        <w:jc w:val="center"/>
        <w:rPr>
          <w:rFonts w:ascii="Times New Roman" w:eastAsia="Times New Roman" w:hAnsi="Times New Roman" w:cs="Times New Roman"/>
          <w:i/>
          <w:iCs/>
          <w:color w:val="999999"/>
          <w:kern w:val="0"/>
          <w:lang w:eastAsia="ru-RU"/>
          <w14:ligatures w14:val="none"/>
        </w:rPr>
      </w:pPr>
      <w:bookmarkStart w:id="133" w:name="n1165"/>
      <w:bookmarkEnd w:id="133"/>
      <w:r w:rsidRPr="00A6450B">
        <w:rPr>
          <w:rFonts w:ascii="Times New Roman" w:eastAsia="Times New Roman" w:hAnsi="Times New Roman" w:cs="Times New Roman"/>
          <w:i/>
          <w:iCs/>
          <w:color w:val="999999"/>
          <w:kern w:val="0"/>
          <w:lang w:eastAsia="ru-RU"/>
          <w14:ligatures w14:val="none"/>
        </w:rPr>
        <w:t>{Абзац двадцятий підпункту 2 пункту 5 розділу III в редакції Наказу Міністерства фінансів </w:t>
      </w:r>
      <w:hyperlink r:id="rId29" w:anchor="n21" w:tgtFrame="_blank" w:history="1">
        <w:r w:rsidRPr="00A6450B">
          <w:rPr>
            <w:rFonts w:ascii="Times New Roman" w:eastAsia="Times New Roman" w:hAnsi="Times New Roman" w:cs="Times New Roman"/>
            <w:i/>
            <w:iCs/>
            <w:color w:val="666666"/>
            <w:kern w:val="0"/>
            <w:u w:val="single"/>
            <w:lang w:eastAsia="ru-RU"/>
            <w14:ligatures w14:val="none"/>
          </w:rPr>
          <w:t>№ 655 від 10.12.2021</w:t>
        </w:r>
      </w:hyperlink>
      <w:r w:rsidRPr="00A6450B">
        <w:rPr>
          <w:rFonts w:ascii="Times New Roman" w:eastAsia="Times New Roman" w:hAnsi="Times New Roman" w:cs="Times New Roman"/>
          <w:i/>
          <w:iCs/>
          <w:color w:val="999999"/>
          <w:kern w:val="0"/>
          <w:lang w:eastAsia="ru-RU"/>
          <w14:ligatures w14:val="none"/>
        </w:rPr>
        <w:t>}</w:t>
      </w:r>
    </w:p>
    <w:p w14:paraId="72CA8CC6"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34" w:name="n974"/>
      <w:bookmarkEnd w:id="134"/>
      <w:r w:rsidRPr="00A6450B">
        <w:rPr>
          <w:rFonts w:ascii="Times New Roman" w:eastAsia="Times New Roman" w:hAnsi="Times New Roman" w:cs="Times New Roman"/>
          <w:color w:val="333333"/>
          <w:kern w:val="0"/>
          <w:lang w:eastAsia="ru-RU"/>
          <w14:ligatures w14:val="none"/>
        </w:rPr>
        <w:t>зниження суми сплати рентних платежів порівняно з попереднім календарним роком на 50 та більше відсотків;</w:t>
      </w:r>
    </w:p>
    <w:p w14:paraId="5F877F4A"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35" w:name="n975"/>
      <w:bookmarkEnd w:id="135"/>
      <w:r w:rsidRPr="00A6450B">
        <w:rPr>
          <w:rFonts w:ascii="Times New Roman" w:eastAsia="Times New Roman" w:hAnsi="Times New Roman" w:cs="Times New Roman"/>
          <w:color w:val="333333"/>
          <w:kern w:val="0"/>
          <w:lang w:eastAsia="ru-RU"/>
          <w14:ligatures w14:val="none"/>
        </w:rPr>
        <w:t>невідповідність показників декларації з рентної плати за календарний (звітний) рік даним, визначеним у лісорубних (лісових) квитках;</w:t>
      </w:r>
    </w:p>
    <w:p w14:paraId="6C2B215B"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36" w:name="n976"/>
      <w:bookmarkEnd w:id="136"/>
      <w:r w:rsidRPr="00A6450B">
        <w:rPr>
          <w:rFonts w:ascii="Times New Roman" w:eastAsia="Times New Roman" w:hAnsi="Times New Roman" w:cs="Times New Roman"/>
          <w:color w:val="333333"/>
          <w:kern w:val="0"/>
          <w:lang w:eastAsia="ru-RU"/>
          <w14:ligatures w14:val="none"/>
        </w:rPr>
        <w:t>декларування платниками податків, які декларують вид діяльності, пов’язаний з будівництвом, інших податкових зобов’язань з податку на додану вартість більше ніж 30 відсотків загального обсягу постачання та встановлення реалізації (чистий дохід) нижче собівартості;</w:t>
      </w:r>
    </w:p>
    <w:p w14:paraId="4DAB9A57"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37" w:name="n977"/>
      <w:bookmarkEnd w:id="137"/>
      <w:r w:rsidRPr="00A6450B">
        <w:rPr>
          <w:rFonts w:ascii="Times New Roman" w:eastAsia="Times New Roman" w:hAnsi="Times New Roman" w:cs="Times New Roman"/>
          <w:color w:val="333333"/>
          <w:kern w:val="0"/>
          <w:lang w:eastAsia="ru-RU"/>
          <w14:ligatures w14:val="none"/>
        </w:rPr>
        <w:t>несплата податкових зобов’язань з податку на прибуток платниками податків, які декларують вид діяльності, пов’язаний з будівництвом, у зв’язку з виключенням їх з Реєстру неприбуткових організацій, відповідно до вимог </w:t>
      </w:r>
      <w:hyperlink r:id="rId30" w:anchor="n12539" w:tgtFrame="_blank" w:history="1">
        <w:r w:rsidRPr="00A6450B">
          <w:rPr>
            <w:rFonts w:ascii="Times New Roman" w:eastAsia="Times New Roman" w:hAnsi="Times New Roman" w:cs="Times New Roman"/>
            <w:color w:val="000099"/>
            <w:kern w:val="0"/>
            <w:u w:val="single"/>
            <w:lang w:eastAsia="ru-RU"/>
            <w14:ligatures w14:val="none"/>
          </w:rPr>
          <w:t>підпункту 133.4.1</w:t>
        </w:r>
      </w:hyperlink>
      <w:r w:rsidRPr="00A6450B">
        <w:rPr>
          <w:rFonts w:ascii="Times New Roman" w:eastAsia="Times New Roman" w:hAnsi="Times New Roman" w:cs="Times New Roman"/>
          <w:color w:val="333333"/>
          <w:kern w:val="0"/>
          <w:lang w:eastAsia="ru-RU"/>
          <w14:ligatures w14:val="none"/>
        </w:rPr>
        <w:t> пункту 133.4 статті 133 Кодексу;</w:t>
      </w:r>
    </w:p>
    <w:p w14:paraId="4B4CE63A"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38" w:name="n978"/>
      <w:bookmarkEnd w:id="138"/>
      <w:r w:rsidRPr="00A6450B">
        <w:rPr>
          <w:rFonts w:ascii="Times New Roman" w:eastAsia="Times New Roman" w:hAnsi="Times New Roman" w:cs="Times New Roman"/>
          <w:color w:val="333333"/>
          <w:kern w:val="0"/>
          <w:lang w:eastAsia="ru-RU"/>
          <w14:ligatures w14:val="none"/>
        </w:rPr>
        <w:t>коригування платниками податків, які декларують вид діяльності, пов’язаний з роздрібною торгівлею, податкових зобов’язань з податку на додану вартість в сторону зменшення у розмірі 10 та більше відсотків, що надалі призводить до заниження бази оподаткування операцій з постачання товарів (послуг) нижче ціни придбання таких товарів;</w:t>
      </w:r>
    </w:p>
    <w:p w14:paraId="60292B1E"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39" w:name="n979"/>
      <w:bookmarkEnd w:id="139"/>
      <w:r w:rsidRPr="00A6450B">
        <w:rPr>
          <w:rFonts w:ascii="Times New Roman" w:eastAsia="Times New Roman" w:hAnsi="Times New Roman" w:cs="Times New Roman"/>
          <w:color w:val="333333"/>
          <w:kern w:val="0"/>
          <w:lang w:eastAsia="ru-RU"/>
          <w14:ligatures w14:val="none"/>
        </w:rPr>
        <w:t>обсяги отримання (ввезення) тютюнової сировини та/або фільтрів для виробництва сигарет у платників податків, які декларують вид діяльності, пов’язаний з виробництвом тютюнових виробів, в перерахунку на готову продукцію перевищують обсяги виробництва на 50 та більше відсотків;</w:t>
      </w:r>
    </w:p>
    <w:p w14:paraId="2667F4E4"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40" w:name="n980"/>
      <w:bookmarkEnd w:id="140"/>
      <w:r w:rsidRPr="00A6450B">
        <w:rPr>
          <w:rFonts w:ascii="Times New Roman" w:eastAsia="Times New Roman" w:hAnsi="Times New Roman" w:cs="Times New Roman"/>
          <w:color w:val="333333"/>
          <w:kern w:val="0"/>
          <w:lang w:eastAsia="ru-RU"/>
          <w14:ligatures w14:val="none"/>
        </w:rPr>
        <w:t>сума розрахункових операцій, проведених через реєстратори розрахункових операцій, на 50 та більше відсотків менше від середньої суми розрахункових операцій, проведених через реєстратори розрахункових операцій платників податків України, які працюють на одній території (регіон), з одним видом господарської діяльності з урахуванням пропорційності доходів до суми розрахункових операцій, проведених через реєстратори розрахункових операцій;</w:t>
      </w:r>
    </w:p>
    <w:p w14:paraId="7D2AA43E"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41" w:name="n981"/>
      <w:bookmarkEnd w:id="141"/>
      <w:r w:rsidRPr="00A6450B">
        <w:rPr>
          <w:rFonts w:ascii="Times New Roman" w:eastAsia="Times New Roman" w:hAnsi="Times New Roman" w:cs="Times New Roman"/>
          <w:color w:val="333333"/>
          <w:kern w:val="0"/>
          <w:lang w:eastAsia="ru-RU"/>
          <w14:ligatures w14:val="none"/>
        </w:rPr>
        <w:t>здійснення закупівлі продукції при відсутності реалізації платниками податків, які мають ліцензії на оптову торгівлю тютюновими виробами та/або алкогольними напоями;</w:t>
      </w:r>
    </w:p>
    <w:p w14:paraId="67EBE16C"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42" w:name="n982"/>
      <w:bookmarkEnd w:id="142"/>
      <w:r w:rsidRPr="00A6450B">
        <w:rPr>
          <w:rFonts w:ascii="Times New Roman" w:eastAsia="Times New Roman" w:hAnsi="Times New Roman" w:cs="Times New Roman"/>
          <w:color w:val="333333"/>
          <w:kern w:val="0"/>
          <w:lang w:eastAsia="ru-RU"/>
          <w14:ligatures w14:val="none"/>
        </w:rPr>
        <w:t xml:space="preserve">декларування податкових зобов’язань на рівні податкового кредиту з податку на додану вартість протягом трьох календарних (звітних) місяців платниками податків, які </w:t>
      </w:r>
      <w:r w:rsidRPr="00A6450B">
        <w:rPr>
          <w:rFonts w:ascii="Times New Roman" w:eastAsia="Times New Roman" w:hAnsi="Times New Roman" w:cs="Times New Roman"/>
          <w:color w:val="333333"/>
          <w:kern w:val="0"/>
          <w:lang w:eastAsia="ru-RU"/>
          <w14:ligatures w14:val="none"/>
        </w:rPr>
        <w:lastRenderedPageBreak/>
        <w:t>декларують вид діяльності, пов’язаний з оптовою чи роздрібною торгівлею, при збільшенні обсягу реалізації на митній території України на 10 та більше відсотків;</w:t>
      </w:r>
    </w:p>
    <w:p w14:paraId="5F33D2A9"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43" w:name="n983"/>
      <w:bookmarkEnd w:id="143"/>
      <w:r w:rsidRPr="00A6450B">
        <w:rPr>
          <w:rFonts w:ascii="Times New Roman" w:eastAsia="Times New Roman" w:hAnsi="Times New Roman" w:cs="Times New Roman"/>
          <w:color w:val="333333"/>
          <w:kern w:val="0"/>
          <w:lang w:eastAsia="ru-RU"/>
          <w14:ligatures w14:val="none"/>
        </w:rPr>
        <w:t>декларування протягом трьох звітних податкових періодів до відшкодування суми податку на додану вартість у розмірі понад 500 тис.грн за відсутності зовнішньоекономічних операцій або за наявності одночасно експортних та імпортних операцій та відсутності інформації щодо власних або орендованих основних фондів;</w:t>
      </w:r>
    </w:p>
    <w:p w14:paraId="622582D8"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44" w:name="n1168"/>
      <w:bookmarkEnd w:id="144"/>
      <w:r w:rsidRPr="00A6450B">
        <w:rPr>
          <w:rFonts w:ascii="Times New Roman" w:eastAsia="Times New Roman" w:hAnsi="Times New Roman" w:cs="Times New Roman"/>
          <w:color w:val="333333"/>
          <w:kern w:val="0"/>
          <w:lang w:eastAsia="ru-RU"/>
          <w14:ligatures w14:val="none"/>
        </w:rPr>
        <w:t>декларування експортних та/або імпортних операцій без фактичного здійснення таких операцій;</w:t>
      </w:r>
    </w:p>
    <w:p w14:paraId="5419966C" w14:textId="77777777" w:rsidR="00A6450B" w:rsidRPr="00A6450B" w:rsidRDefault="00A6450B" w:rsidP="00A6450B">
      <w:pPr>
        <w:spacing w:after="150" w:line="240" w:lineRule="auto"/>
        <w:jc w:val="center"/>
        <w:rPr>
          <w:rFonts w:ascii="Times New Roman" w:eastAsia="Times New Roman" w:hAnsi="Times New Roman" w:cs="Times New Roman"/>
          <w:i/>
          <w:iCs/>
          <w:color w:val="999999"/>
          <w:kern w:val="0"/>
          <w:lang w:eastAsia="ru-RU"/>
          <w14:ligatures w14:val="none"/>
        </w:rPr>
      </w:pPr>
      <w:bookmarkStart w:id="145" w:name="n1167"/>
      <w:bookmarkEnd w:id="145"/>
      <w:r w:rsidRPr="00A6450B">
        <w:rPr>
          <w:rFonts w:ascii="Times New Roman" w:eastAsia="Times New Roman" w:hAnsi="Times New Roman" w:cs="Times New Roman"/>
          <w:i/>
          <w:iCs/>
          <w:color w:val="999999"/>
          <w:kern w:val="0"/>
          <w:lang w:eastAsia="ru-RU"/>
          <w14:ligatures w14:val="none"/>
        </w:rPr>
        <w:t>{Підпункт 2 пункту 5 розділу III доповнено новим абзацом згідно з Наказом Міністерства фінансів </w:t>
      </w:r>
      <w:hyperlink r:id="rId31" w:anchor="n21" w:tgtFrame="_blank" w:history="1">
        <w:r w:rsidRPr="00A6450B">
          <w:rPr>
            <w:rFonts w:ascii="Times New Roman" w:eastAsia="Times New Roman" w:hAnsi="Times New Roman" w:cs="Times New Roman"/>
            <w:i/>
            <w:iCs/>
            <w:color w:val="666666"/>
            <w:kern w:val="0"/>
            <w:u w:val="single"/>
            <w:lang w:eastAsia="ru-RU"/>
            <w14:ligatures w14:val="none"/>
          </w:rPr>
          <w:t>№ 655 від 10.12.2021</w:t>
        </w:r>
      </w:hyperlink>
      <w:r w:rsidRPr="00A6450B">
        <w:rPr>
          <w:rFonts w:ascii="Times New Roman" w:eastAsia="Times New Roman" w:hAnsi="Times New Roman" w:cs="Times New Roman"/>
          <w:i/>
          <w:iCs/>
          <w:color w:val="999999"/>
          <w:kern w:val="0"/>
          <w:lang w:eastAsia="ru-RU"/>
          <w14:ligatures w14:val="none"/>
        </w:rPr>
        <w:t>}</w:t>
      </w:r>
    </w:p>
    <w:p w14:paraId="74AC9408"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46" w:name="n1171"/>
      <w:bookmarkEnd w:id="146"/>
      <w:r w:rsidRPr="00A6450B">
        <w:rPr>
          <w:rFonts w:ascii="Times New Roman" w:eastAsia="Times New Roman" w:hAnsi="Times New Roman" w:cs="Times New Roman"/>
          <w:color w:val="333333"/>
          <w:kern w:val="0"/>
          <w:lang w:eastAsia="ru-RU"/>
          <w14:ligatures w14:val="none"/>
        </w:rPr>
        <w:t>сплата податку на прибуток за відповідний рік в обсязі менше 1,5 відсотка від обсягу відшкодованого податку на додану вартість у розмірі понад 10 млн грн впродовж календарного року;</w:t>
      </w:r>
    </w:p>
    <w:p w14:paraId="1BB7FF34" w14:textId="77777777" w:rsidR="00A6450B" w:rsidRPr="00A6450B" w:rsidRDefault="00A6450B" w:rsidP="00A6450B">
      <w:pPr>
        <w:spacing w:after="150" w:line="240" w:lineRule="auto"/>
        <w:jc w:val="center"/>
        <w:rPr>
          <w:rFonts w:ascii="Times New Roman" w:eastAsia="Times New Roman" w:hAnsi="Times New Roman" w:cs="Times New Roman"/>
          <w:i/>
          <w:iCs/>
          <w:color w:val="999999"/>
          <w:kern w:val="0"/>
          <w:lang w:eastAsia="ru-RU"/>
          <w14:ligatures w14:val="none"/>
        </w:rPr>
      </w:pPr>
      <w:bookmarkStart w:id="147" w:name="n1170"/>
      <w:bookmarkEnd w:id="147"/>
      <w:r w:rsidRPr="00A6450B">
        <w:rPr>
          <w:rFonts w:ascii="Times New Roman" w:eastAsia="Times New Roman" w:hAnsi="Times New Roman" w:cs="Times New Roman"/>
          <w:i/>
          <w:iCs/>
          <w:color w:val="999999"/>
          <w:kern w:val="0"/>
          <w:lang w:eastAsia="ru-RU"/>
          <w14:ligatures w14:val="none"/>
        </w:rPr>
        <w:t>{Підпункт 2 пункту 5 розділу III доповнено новим абзацом згідно з Наказом Міністерства фінансів </w:t>
      </w:r>
      <w:hyperlink r:id="rId32" w:anchor="n21" w:tgtFrame="_blank" w:history="1">
        <w:r w:rsidRPr="00A6450B">
          <w:rPr>
            <w:rFonts w:ascii="Times New Roman" w:eastAsia="Times New Roman" w:hAnsi="Times New Roman" w:cs="Times New Roman"/>
            <w:i/>
            <w:iCs/>
            <w:color w:val="666666"/>
            <w:kern w:val="0"/>
            <w:u w:val="single"/>
            <w:lang w:eastAsia="ru-RU"/>
            <w14:ligatures w14:val="none"/>
          </w:rPr>
          <w:t>№ 655 від 10.12.2021</w:t>
        </w:r>
      </w:hyperlink>
      <w:r w:rsidRPr="00A6450B">
        <w:rPr>
          <w:rFonts w:ascii="Times New Roman" w:eastAsia="Times New Roman" w:hAnsi="Times New Roman" w:cs="Times New Roman"/>
          <w:i/>
          <w:iCs/>
          <w:color w:val="999999"/>
          <w:kern w:val="0"/>
          <w:lang w:eastAsia="ru-RU"/>
          <w14:ligatures w14:val="none"/>
        </w:rPr>
        <w:t>}</w:t>
      </w:r>
    </w:p>
    <w:p w14:paraId="7CC630F3"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48" w:name="n984"/>
      <w:bookmarkEnd w:id="148"/>
      <w:r w:rsidRPr="00A6450B">
        <w:rPr>
          <w:rFonts w:ascii="Times New Roman" w:eastAsia="Times New Roman" w:hAnsi="Times New Roman" w:cs="Times New Roman"/>
          <w:color w:val="333333"/>
          <w:kern w:val="0"/>
          <w:lang w:eastAsia="ru-RU"/>
          <w14:ligatures w14:val="none"/>
        </w:rPr>
        <w:t>3) незначного ступеня ризику:</w:t>
      </w:r>
    </w:p>
    <w:p w14:paraId="5A50C9EB"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49" w:name="n985"/>
      <w:bookmarkEnd w:id="149"/>
      <w:r w:rsidRPr="00A6450B">
        <w:rPr>
          <w:rFonts w:ascii="Times New Roman" w:eastAsia="Times New Roman" w:hAnsi="Times New Roman" w:cs="Times New Roman"/>
          <w:color w:val="333333"/>
          <w:kern w:val="0"/>
          <w:lang w:eastAsia="ru-RU"/>
          <w14:ligatures w14:val="none"/>
        </w:rPr>
        <w:t>проведення протягом місяця більше трьох ремонтів одного реєстратора розрахункових операцій, не пов’язаних із плановим технічним обслуговуванням;</w:t>
      </w:r>
    </w:p>
    <w:p w14:paraId="685F2EEF"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50" w:name="n986"/>
      <w:bookmarkEnd w:id="150"/>
      <w:r w:rsidRPr="00A6450B">
        <w:rPr>
          <w:rFonts w:ascii="Times New Roman" w:eastAsia="Times New Roman" w:hAnsi="Times New Roman" w:cs="Times New Roman"/>
          <w:color w:val="333333"/>
          <w:kern w:val="0"/>
          <w:lang w:eastAsia="ru-RU"/>
          <w14:ligatures w14:val="none"/>
        </w:rPr>
        <w:t>наявність в органів ДПС інформації про відсутність торгових патентів і ліцензій у платників податків, які провадять діяльність, що підлягає ліцензуванню;</w:t>
      </w:r>
    </w:p>
    <w:p w14:paraId="26987C9D"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51" w:name="n987"/>
      <w:bookmarkEnd w:id="151"/>
      <w:r w:rsidRPr="00A6450B">
        <w:rPr>
          <w:rFonts w:ascii="Times New Roman" w:eastAsia="Times New Roman" w:hAnsi="Times New Roman" w:cs="Times New Roman"/>
          <w:color w:val="333333"/>
          <w:kern w:val="0"/>
          <w:lang w:eastAsia="ru-RU"/>
          <w14:ligatures w14:val="none"/>
        </w:rPr>
        <w:t>зменшення у звітності суми нарахованого єдиного внеску за попередні періоди від 10 до 20 відсотків загальної суми нарахованого єдиного внеску за останні 12 місяців, що передують звітному;</w:t>
      </w:r>
    </w:p>
    <w:p w14:paraId="42F15B31"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52" w:name="n988"/>
      <w:bookmarkEnd w:id="152"/>
      <w:r w:rsidRPr="00A6450B">
        <w:rPr>
          <w:rFonts w:ascii="Times New Roman" w:eastAsia="Times New Roman" w:hAnsi="Times New Roman" w:cs="Times New Roman"/>
          <w:color w:val="333333"/>
          <w:kern w:val="0"/>
          <w:lang w:eastAsia="ru-RU"/>
          <w14:ligatures w14:val="none"/>
        </w:rPr>
        <w:t>здійснення платником податків коригування звітності шляхом зменшення фінансового результату до оподаткування, визначеного у фінансовій звітності підприємства відповідно до національних положень (стандартів) бухгалтерського обліку або міжнародних стандартів фінансової звітності, на різниці від 10 до 20 відсотків;</w:t>
      </w:r>
    </w:p>
    <w:p w14:paraId="40443D91"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53" w:name="n989"/>
      <w:bookmarkEnd w:id="153"/>
      <w:r w:rsidRPr="00A6450B">
        <w:rPr>
          <w:rFonts w:ascii="Times New Roman" w:eastAsia="Times New Roman" w:hAnsi="Times New Roman" w:cs="Times New Roman"/>
          <w:color w:val="333333"/>
          <w:kern w:val="0"/>
          <w:lang w:eastAsia="ru-RU"/>
          <w14:ligatures w14:val="none"/>
        </w:rPr>
        <w:t>декларування платником податків видів діяльності, пов’язаних з торгівлею, громадським харчуванням, наданням послуг, за відсутності зареєстрованого реєстратора розрахункових операцій;</w:t>
      </w:r>
    </w:p>
    <w:p w14:paraId="14FACA8E"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54" w:name="n990"/>
      <w:bookmarkEnd w:id="154"/>
      <w:r w:rsidRPr="00A6450B">
        <w:rPr>
          <w:rFonts w:ascii="Times New Roman" w:eastAsia="Times New Roman" w:hAnsi="Times New Roman" w:cs="Times New Roman"/>
          <w:color w:val="333333"/>
          <w:kern w:val="0"/>
          <w:lang w:eastAsia="ru-RU"/>
          <w14:ligatures w14:val="none"/>
        </w:rPr>
        <w:t>наявність зареєстрованого реєстратора розрахункових операцій за відсутності обсягів реалізації товарів (послуг) через такий реєстратор розрахункових операцій;</w:t>
      </w:r>
    </w:p>
    <w:p w14:paraId="74396C1F"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55" w:name="n991"/>
      <w:bookmarkEnd w:id="155"/>
      <w:r w:rsidRPr="00A6450B">
        <w:rPr>
          <w:rFonts w:ascii="Times New Roman" w:eastAsia="Times New Roman" w:hAnsi="Times New Roman" w:cs="Times New Roman"/>
          <w:color w:val="333333"/>
          <w:kern w:val="0"/>
          <w:lang w:eastAsia="ru-RU"/>
          <w14:ligatures w14:val="none"/>
        </w:rPr>
        <w:t>суми за повернення товарів становлять понад 5 відсотків суми загального продажу, проведеної через реєстратори розрахункових операцій;</w:t>
      </w:r>
    </w:p>
    <w:p w14:paraId="59F5C67D"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56" w:name="n992"/>
      <w:bookmarkEnd w:id="156"/>
      <w:r w:rsidRPr="00A6450B">
        <w:rPr>
          <w:rFonts w:ascii="Times New Roman" w:eastAsia="Times New Roman" w:hAnsi="Times New Roman" w:cs="Times New Roman"/>
          <w:color w:val="333333"/>
          <w:kern w:val="0"/>
          <w:lang w:eastAsia="ru-RU"/>
          <w14:ligatures w14:val="none"/>
        </w:rPr>
        <w:t>зменшення суми розрахункових операцій, проведених через реєстратори розрахункових операцій, на 20 та більше відсотків порівняно із середньою сумою розрахункових операцій, проведених через реєстратори розрахункових операцій за останні 6 місяців з урахуванням пропорційності доходів до суми розрахункових операцій, проведених через реєстратори розрахункових операцій;</w:t>
      </w:r>
    </w:p>
    <w:p w14:paraId="44CC9289"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57" w:name="n993"/>
      <w:bookmarkEnd w:id="157"/>
      <w:r w:rsidRPr="00A6450B">
        <w:rPr>
          <w:rFonts w:ascii="Times New Roman" w:eastAsia="Times New Roman" w:hAnsi="Times New Roman" w:cs="Times New Roman"/>
          <w:color w:val="333333"/>
          <w:kern w:val="0"/>
          <w:lang w:eastAsia="ru-RU"/>
          <w14:ligatures w14:val="none"/>
        </w:rPr>
        <w:t>ІР-адреса або електронна адреса, яка використовується платником податків для листування з контролюючими органами, використовується більш ніж сімома платниками податків з обсягами реалізації понад 4 млн гривень.</w:t>
      </w:r>
    </w:p>
    <w:p w14:paraId="771E6589"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58" w:name="n994"/>
      <w:bookmarkEnd w:id="158"/>
      <w:r w:rsidRPr="00A6450B">
        <w:rPr>
          <w:rFonts w:ascii="Times New Roman" w:eastAsia="Times New Roman" w:hAnsi="Times New Roman" w:cs="Times New Roman"/>
          <w:color w:val="333333"/>
          <w:kern w:val="0"/>
          <w:lang w:eastAsia="ru-RU"/>
          <w14:ligatures w14:val="none"/>
        </w:rPr>
        <w:lastRenderedPageBreak/>
        <w:t>6. Критерії відбору банків:</w:t>
      </w:r>
    </w:p>
    <w:p w14:paraId="642A3BD1"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59" w:name="n995"/>
      <w:bookmarkEnd w:id="159"/>
      <w:r w:rsidRPr="00A6450B">
        <w:rPr>
          <w:rFonts w:ascii="Times New Roman" w:eastAsia="Times New Roman" w:hAnsi="Times New Roman" w:cs="Times New Roman"/>
          <w:color w:val="333333"/>
          <w:kern w:val="0"/>
          <w:lang w:eastAsia="ru-RU"/>
          <w14:ligatures w14:val="none"/>
        </w:rPr>
        <w:t>1) високого ступеня ризику:</w:t>
      </w:r>
    </w:p>
    <w:p w14:paraId="4345B54A"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60" w:name="n996"/>
      <w:bookmarkEnd w:id="160"/>
      <w:r w:rsidRPr="00A6450B">
        <w:rPr>
          <w:rFonts w:ascii="Times New Roman" w:eastAsia="Times New Roman" w:hAnsi="Times New Roman" w:cs="Times New Roman"/>
          <w:color w:val="333333"/>
          <w:kern w:val="0"/>
          <w:lang w:eastAsia="ru-RU"/>
          <w14:ligatures w14:val="none"/>
        </w:rPr>
        <w:t>наявність відносин з контрагентами, які знаходяться в розшуку, або ліквідовані, або визнані банкрутами, якщо сума таких операцій перевищує 5 млн грн;</w:t>
      </w:r>
    </w:p>
    <w:p w14:paraId="6448B517"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61" w:name="n997"/>
      <w:bookmarkEnd w:id="161"/>
      <w:r w:rsidRPr="00A6450B">
        <w:rPr>
          <w:rFonts w:ascii="Times New Roman" w:eastAsia="Times New Roman" w:hAnsi="Times New Roman" w:cs="Times New Roman"/>
          <w:color w:val="333333"/>
          <w:kern w:val="0"/>
          <w:lang w:eastAsia="ru-RU"/>
          <w14:ligatures w14:val="none"/>
        </w:rPr>
        <w:t>інші витрати перевищують 30 відсотків загальних витрат операційної діяльності;</w:t>
      </w:r>
    </w:p>
    <w:p w14:paraId="5458320F"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62" w:name="n998"/>
      <w:bookmarkEnd w:id="162"/>
      <w:r w:rsidRPr="00A6450B">
        <w:rPr>
          <w:rFonts w:ascii="Times New Roman" w:eastAsia="Times New Roman" w:hAnsi="Times New Roman" w:cs="Times New Roman"/>
          <w:color w:val="333333"/>
          <w:kern w:val="0"/>
          <w:lang w:eastAsia="ru-RU"/>
          <w14:ligatures w14:val="none"/>
        </w:rPr>
        <w:t>декларування від’ємного значення фінансового результату від операційної діяльності;</w:t>
      </w:r>
    </w:p>
    <w:p w14:paraId="56854935"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63" w:name="n999"/>
      <w:bookmarkEnd w:id="163"/>
      <w:r w:rsidRPr="00A6450B">
        <w:rPr>
          <w:rFonts w:ascii="Times New Roman" w:eastAsia="Times New Roman" w:hAnsi="Times New Roman" w:cs="Times New Roman"/>
          <w:color w:val="333333"/>
          <w:kern w:val="0"/>
          <w:lang w:eastAsia="ru-RU"/>
          <w14:ligatures w14:val="none"/>
        </w:rPr>
        <w:t>наявність інформації про ухилення від оподаткування, отриманої із зовнішніх джерел;</w:t>
      </w:r>
    </w:p>
    <w:p w14:paraId="52565556"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64" w:name="n1000"/>
      <w:bookmarkEnd w:id="164"/>
      <w:r w:rsidRPr="00A6450B">
        <w:rPr>
          <w:rFonts w:ascii="Times New Roman" w:eastAsia="Times New Roman" w:hAnsi="Times New Roman" w:cs="Times New Roman"/>
          <w:color w:val="333333"/>
          <w:kern w:val="0"/>
          <w:lang w:eastAsia="ru-RU"/>
          <w14:ligatures w14:val="none"/>
        </w:rPr>
        <w:t>здійснення банком коригування звітності шляхом зменшення фінансового результату до оподаткування, визначеного у фінансовій звітності відповідно до міжнародних стандартів фінансової звітності, на різниці понад 30 відсотків;</w:t>
      </w:r>
    </w:p>
    <w:p w14:paraId="5514B156"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65" w:name="n1001"/>
      <w:bookmarkEnd w:id="165"/>
      <w:r w:rsidRPr="00A6450B">
        <w:rPr>
          <w:rFonts w:ascii="Times New Roman" w:eastAsia="Times New Roman" w:hAnsi="Times New Roman" w:cs="Times New Roman"/>
          <w:color w:val="333333"/>
          <w:kern w:val="0"/>
          <w:lang w:eastAsia="ru-RU"/>
          <w14:ligatures w14:val="none"/>
        </w:rPr>
        <w:t>інші операційні витрати перевищують суму матеріальних затрат і витрат на оплату праці;</w:t>
      </w:r>
    </w:p>
    <w:p w14:paraId="15E41C11"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66" w:name="n1002"/>
      <w:bookmarkEnd w:id="166"/>
      <w:r w:rsidRPr="00A6450B">
        <w:rPr>
          <w:rFonts w:ascii="Times New Roman" w:eastAsia="Times New Roman" w:hAnsi="Times New Roman" w:cs="Times New Roman"/>
          <w:color w:val="333333"/>
          <w:kern w:val="0"/>
          <w:lang w:eastAsia="ru-RU"/>
          <w14:ligatures w14:val="none"/>
        </w:rPr>
        <w:t>декларування від’ємного значення податку на прибуток протягом двох податкових (звітних) періодів за умови, якщо податковим періодом є календарний квартал, або протягом одного податкового (звітного) періоду за умови, якщо податковим періодом є календарний рік;</w:t>
      </w:r>
    </w:p>
    <w:p w14:paraId="6B157A43"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67" w:name="n1003"/>
      <w:bookmarkEnd w:id="167"/>
      <w:r w:rsidRPr="00A6450B">
        <w:rPr>
          <w:rFonts w:ascii="Times New Roman" w:eastAsia="Times New Roman" w:hAnsi="Times New Roman" w:cs="Times New Roman"/>
          <w:color w:val="333333"/>
          <w:kern w:val="0"/>
          <w:lang w:eastAsia="ru-RU"/>
          <w14:ligatures w14:val="none"/>
        </w:rPr>
        <w:t>наявність інформації щодо здійснення банком операцій факторингу (відступлення права вимоги);</w:t>
      </w:r>
    </w:p>
    <w:p w14:paraId="32003E1F"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68" w:name="n1004"/>
      <w:bookmarkEnd w:id="168"/>
      <w:r w:rsidRPr="00A6450B">
        <w:rPr>
          <w:rFonts w:ascii="Times New Roman" w:eastAsia="Times New Roman" w:hAnsi="Times New Roman" w:cs="Times New Roman"/>
          <w:color w:val="333333"/>
          <w:kern w:val="0"/>
          <w:lang w:eastAsia="ru-RU"/>
          <w14:ligatures w14:val="none"/>
        </w:rPr>
        <w:t>різниці, що виникають при формуванні страхового резерву банків, на які зменшується фінансовий результат, становлять понад 50 відсотків;</w:t>
      </w:r>
    </w:p>
    <w:p w14:paraId="4E5C06C0"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69" w:name="n1005"/>
      <w:bookmarkEnd w:id="169"/>
      <w:r w:rsidRPr="00A6450B">
        <w:rPr>
          <w:rFonts w:ascii="Times New Roman" w:eastAsia="Times New Roman" w:hAnsi="Times New Roman" w:cs="Times New Roman"/>
          <w:color w:val="333333"/>
          <w:kern w:val="0"/>
          <w:lang w:eastAsia="ru-RU"/>
          <w14:ligatures w14:val="none"/>
        </w:rPr>
        <w:t>наявність інформації щодо здійснення банком операцій з купівлі-продажу та інших способів відчуження цінних паперів, емітенти яких за рішенням Національної комісії з цінних паперів та фондового ринку включені до списку емітентів, що мають ознаки фіктивності;</w:t>
      </w:r>
    </w:p>
    <w:p w14:paraId="3B7BC546"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70" w:name="n1006"/>
      <w:bookmarkEnd w:id="170"/>
      <w:r w:rsidRPr="00A6450B">
        <w:rPr>
          <w:rFonts w:ascii="Times New Roman" w:eastAsia="Times New Roman" w:hAnsi="Times New Roman" w:cs="Times New Roman"/>
          <w:color w:val="333333"/>
          <w:kern w:val="0"/>
          <w:lang w:eastAsia="ru-RU"/>
          <w14:ligatures w14:val="none"/>
        </w:rPr>
        <w:t>здійснення операцій з цінними паперами, обіг яких скасовано, зупинено за рішенням Національної комісії з цінних паперів та фондового ринку;</w:t>
      </w:r>
    </w:p>
    <w:p w14:paraId="164BD9E3"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71" w:name="n1007"/>
      <w:bookmarkEnd w:id="171"/>
      <w:r w:rsidRPr="00A6450B">
        <w:rPr>
          <w:rFonts w:ascii="Times New Roman" w:eastAsia="Times New Roman" w:hAnsi="Times New Roman" w:cs="Times New Roman"/>
          <w:color w:val="333333"/>
          <w:kern w:val="0"/>
          <w:lang w:eastAsia="ru-RU"/>
          <w14:ligatures w14:val="none"/>
        </w:rPr>
        <w:t>2) середнього ступеня ризику:</w:t>
      </w:r>
    </w:p>
    <w:p w14:paraId="76F28991"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72" w:name="n1008"/>
      <w:bookmarkEnd w:id="172"/>
      <w:r w:rsidRPr="00A6450B">
        <w:rPr>
          <w:rFonts w:ascii="Times New Roman" w:eastAsia="Times New Roman" w:hAnsi="Times New Roman" w:cs="Times New Roman"/>
          <w:color w:val="333333"/>
          <w:kern w:val="0"/>
          <w:lang w:eastAsia="ru-RU"/>
          <w14:ligatures w14:val="none"/>
        </w:rPr>
        <w:t>відхилення між значеннями фінансового результату до оподаткування (прибуток або збиток), визначеного у фінансовій звітності відповідно до національних положень (стандартів) бухгалтерського обліку або міжнародних стандартів фінансової звітності, задекларованого у податковій звітності, та фінансового результату до оподаткування (прибуток або збиток), задекларованого у фінансовій звітності, понад 10 відсотків;</w:t>
      </w:r>
    </w:p>
    <w:p w14:paraId="5194710B"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73" w:name="n1009"/>
      <w:bookmarkEnd w:id="173"/>
      <w:r w:rsidRPr="00A6450B">
        <w:rPr>
          <w:rFonts w:ascii="Times New Roman" w:eastAsia="Times New Roman" w:hAnsi="Times New Roman" w:cs="Times New Roman"/>
          <w:color w:val="333333"/>
          <w:kern w:val="0"/>
          <w:lang w:eastAsia="ru-RU"/>
          <w14:ligatures w14:val="none"/>
        </w:rPr>
        <w:t>нарахування та виплата доходів за ознаками, визначеними </w:t>
      </w:r>
      <w:hyperlink r:id="rId33" w:anchor="n113" w:tgtFrame="_blank" w:history="1">
        <w:r w:rsidRPr="00A6450B">
          <w:rPr>
            <w:rFonts w:ascii="Times New Roman" w:eastAsia="Times New Roman" w:hAnsi="Times New Roman" w:cs="Times New Roman"/>
            <w:color w:val="000099"/>
            <w:kern w:val="0"/>
            <w:u w:val="single"/>
            <w:lang w:eastAsia="ru-RU"/>
            <w14:ligatures w14:val="none"/>
          </w:rPr>
          <w:t>Довідником ознак доходів</w:t>
        </w:r>
      </w:hyperlink>
      <w:r w:rsidRPr="00A6450B">
        <w:rPr>
          <w:rFonts w:ascii="Times New Roman" w:eastAsia="Times New Roman" w:hAnsi="Times New Roman" w:cs="Times New Roman"/>
          <w:color w:val="333333"/>
          <w:kern w:val="0"/>
          <w:lang w:eastAsia="ru-RU"/>
          <w14:ligatures w14:val="none"/>
        </w:rPr>
        <w:t>, 101 (заробітна плата, нарахована (виплачена)) та/або 102 (виплати відповідно до умов цивільно-правового договору), без утримання, перерахування до бюджету податку на доходи фізичних осіб та/або єдиного внеску;</w:t>
      </w:r>
    </w:p>
    <w:p w14:paraId="46C18617"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74" w:name="n1010"/>
      <w:bookmarkEnd w:id="174"/>
      <w:r w:rsidRPr="00A6450B">
        <w:rPr>
          <w:rFonts w:ascii="Times New Roman" w:eastAsia="Times New Roman" w:hAnsi="Times New Roman" w:cs="Times New Roman"/>
          <w:color w:val="333333"/>
          <w:kern w:val="0"/>
          <w:lang w:eastAsia="ru-RU"/>
          <w14:ligatures w14:val="none"/>
        </w:rPr>
        <w:t xml:space="preserve">наявність відносин із платниками податків, які обрали спрощену систему оподаткування та є керівниками, засновниками або співробітниками цього </w:t>
      </w:r>
      <w:r w:rsidRPr="00A6450B">
        <w:rPr>
          <w:rFonts w:ascii="Times New Roman" w:eastAsia="Times New Roman" w:hAnsi="Times New Roman" w:cs="Times New Roman"/>
          <w:color w:val="333333"/>
          <w:kern w:val="0"/>
          <w:lang w:eastAsia="ru-RU"/>
          <w14:ligatures w14:val="none"/>
        </w:rPr>
        <w:lastRenderedPageBreak/>
        <w:t>підприємства, у сумі операцій понад 5 млн грн або понад 5 відсотків загальних обсягів постачання, але не менше ніж 100 тис.грн;</w:t>
      </w:r>
    </w:p>
    <w:p w14:paraId="09420B0F"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75" w:name="n1011"/>
      <w:bookmarkEnd w:id="175"/>
      <w:r w:rsidRPr="00A6450B">
        <w:rPr>
          <w:rFonts w:ascii="Times New Roman" w:eastAsia="Times New Roman" w:hAnsi="Times New Roman" w:cs="Times New Roman"/>
          <w:color w:val="333333"/>
          <w:kern w:val="0"/>
          <w:lang w:eastAsia="ru-RU"/>
          <w14:ligatures w14:val="none"/>
        </w:rPr>
        <w:t>здійснення платником податків коригування звітності шляхом зменшення фінансового результату до оподаткування, визначеного у фінансовій звітності підприємства відповідно до національних положень (стандартів) бухгалтерського обліку або міжнародних стандартів фінансової звітності, на різниці від 20 до 30 відсотків;</w:t>
      </w:r>
    </w:p>
    <w:p w14:paraId="45AEE4BD"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76" w:name="n1012"/>
      <w:bookmarkEnd w:id="176"/>
      <w:r w:rsidRPr="00A6450B">
        <w:rPr>
          <w:rFonts w:ascii="Times New Roman" w:eastAsia="Times New Roman" w:hAnsi="Times New Roman" w:cs="Times New Roman"/>
          <w:color w:val="333333"/>
          <w:kern w:val="0"/>
          <w:lang w:eastAsia="ru-RU"/>
          <w14:ligatures w14:val="none"/>
        </w:rPr>
        <w:t>нарахування та виплата доходів за ознакою 157 (дохід, виплачений самозайнятій особі), визначеною </w:t>
      </w:r>
      <w:hyperlink r:id="rId34" w:anchor="n113" w:tgtFrame="_blank" w:history="1">
        <w:r w:rsidRPr="00A6450B">
          <w:rPr>
            <w:rFonts w:ascii="Times New Roman" w:eastAsia="Times New Roman" w:hAnsi="Times New Roman" w:cs="Times New Roman"/>
            <w:color w:val="000099"/>
            <w:kern w:val="0"/>
            <w:u w:val="single"/>
            <w:lang w:eastAsia="ru-RU"/>
            <w14:ligatures w14:val="none"/>
          </w:rPr>
          <w:t>Довідником ознак доходів</w:t>
        </w:r>
      </w:hyperlink>
      <w:r w:rsidRPr="00A6450B">
        <w:rPr>
          <w:rFonts w:ascii="Times New Roman" w:eastAsia="Times New Roman" w:hAnsi="Times New Roman" w:cs="Times New Roman"/>
          <w:color w:val="333333"/>
          <w:kern w:val="0"/>
          <w:lang w:eastAsia="ru-RU"/>
          <w14:ligatures w14:val="none"/>
        </w:rPr>
        <w:t>, у сумі понад 5 відсотків загального обсягу доходу від будь-якої діяльності (за вирахуванням непрямих податків), визначеного за правилами бухгалтерського обліку;</w:t>
      </w:r>
    </w:p>
    <w:p w14:paraId="6189F987"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77" w:name="n1013"/>
      <w:bookmarkEnd w:id="177"/>
      <w:r w:rsidRPr="00A6450B">
        <w:rPr>
          <w:rFonts w:ascii="Times New Roman" w:eastAsia="Times New Roman" w:hAnsi="Times New Roman" w:cs="Times New Roman"/>
          <w:color w:val="333333"/>
          <w:kern w:val="0"/>
          <w:lang w:eastAsia="ru-RU"/>
          <w14:ligatures w14:val="none"/>
        </w:rPr>
        <w:t>рівень сплати податку на прибуток банку нижчий за рівень сплати податку за відповідною галуззю;</w:t>
      </w:r>
    </w:p>
    <w:p w14:paraId="0536AC34"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78" w:name="n1014"/>
      <w:bookmarkEnd w:id="178"/>
      <w:r w:rsidRPr="00A6450B">
        <w:rPr>
          <w:rFonts w:ascii="Times New Roman" w:eastAsia="Times New Roman" w:hAnsi="Times New Roman" w:cs="Times New Roman"/>
          <w:color w:val="333333"/>
          <w:kern w:val="0"/>
          <w:lang w:eastAsia="ru-RU"/>
          <w14:ligatures w14:val="none"/>
        </w:rPr>
        <w:t>різниці, що виникають при формуванні страхового резерву банків, на які зменшується фінансовий результат, становлять понад 30 відсотків;</w:t>
      </w:r>
    </w:p>
    <w:p w14:paraId="1D78F98B"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79" w:name="n1015"/>
      <w:bookmarkEnd w:id="179"/>
      <w:r w:rsidRPr="00A6450B">
        <w:rPr>
          <w:rFonts w:ascii="Times New Roman" w:eastAsia="Times New Roman" w:hAnsi="Times New Roman" w:cs="Times New Roman"/>
          <w:color w:val="333333"/>
          <w:kern w:val="0"/>
          <w:lang w:eastAsia="ru-RU"/>
          <w14:ligatures w14:val="none"/>
        </w:rPr>
        <w:t>здійснення виплати доходів (відсотки, роялті, лізингові платежі тощо) нерезидентам;</w:t>
      </w:r>
    </w:p>
    <w:p w14:paraId="450A1B3E"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80" w:name="n1016"/>
      <w:bookmarkEnd w:id="180"/>
      <w:r w:rsidRPr="00A6450B">
        <w:rPr>
          <w:rFonts w:ascii="Times New Roman" w:eastAsia="Times New Roman" w:hAnsi="Times New Roman" w:cs="Times New Roman"/>
          <w:color w:val="333333"/>
          <w:kern w:val="0"/>
          <w:lang w:eastAsia="ru-RU"/>
          <w14:ligatures w14:val="none"/>
        </w:rPr>
        <w:t>декларування від’ємного значення фінансового результату за операціями з цінними паперами попереднього податкового (звітного) періоду;</w:t>
      </w:r>
    </w:p>
    <w:p w14:paraId="2FC3F9E2"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81" w:name="n1017"/>
      <w:bookmarkEnd w:id="181"/>
      <w:r w:rsidRPr="00A6450B">
        <w:rPr>
          <w:rFonts w:ascii="Times New Roman" w:eastAsia="Times New Roman" w:hAnsi="Times New Roman" w:cs="Times New Roman"/>
          <w:color w:val="333333"/>
          <w:kern w:val="0"/>
          <w:lang w:eastAsia="ru-RU"/>
          <w14:ligatures w14:val="none"/>
        </w:rPr>
        <w:t>здійснення правочинів з цінними паперами емітентів, щодо яких винесено постанову суду про припинення юридичної особи або визнання юридичної особи банкрутом;</w:t>
      </w:r>
    </w:p>
    <w:p w14:paraId="0C561D36"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82" w:name="n1018"/>
      <w:bookmarkEnd w:id="182"/>
      <w:r w:rsidRPr="00A6450B">
        <w:rPr>
          <w:rFonts w:ascii="Times New Roman" w:eastAsia="Times New Roman" w:hAnsi="Times New Roman" w:cs="Times New Roman"/>
          <w:color w:val="333333"/>
          <w:kern w:val="0"/>
          <w:lang w:eastAsia="ru-RU"/>
          <w14:ligatures w14:val="none"/>
        </w:rPr>
        <w:t>наявність інформації правоохоронних органів, структурних підрозділів органів ДПС про ухилення від оподаткування та/або щодо взаємовідносин із платниками податків, які мають ознаки фіктивності, або реєстрацію яких скасовано у судовому порядку, або які знаходяться у розшуку, або не звітують, або визнані банкрутами, або щодо яких порушено кримінальні справи, які пов’язані з ухиленням від сплати податків, зборів (платежів), єдиного внеску та страхових внесків на загальнообов’язкове державне пенсійне страхування;</w:t>
      </w:r>
    </w:p>
    <w:p w14:paraId="5EAB4661"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83" w:name="n1019"/>
      <w:bookmarkEnd w:id="183"/>
      <w:r w:rsidRPr="00A6450B">
        <w:rPr>
          <w:rFonts w:ascii="Times New Roman" w:eastAsia="Times New Roman" w:hAnsi="Times New Roman" w:cs="Times New Roman"/>
          <w:color w:val="333333"/>
          <w:kern w:val="0"/>
          <w:lang w:eastAsia="ru-RU"/>
          <w14:ligatures w14:val="none"/>
        </w:rPr>
        <w:t>3) незначного ступеня ризику:</w:t>
      </w:r>
    </w:p>
    <w:p w14:paraId="6BB7E60E"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84" w:name="n1020"/>
      <w:bookmarkEnd w:id="184"/>
      <w:r w:rsidRPr="00A6450B">
        <w:rPr>
          <w:rFonts w:ascii="Times New Roman" w:eastAsia="Times New Roman" w:hAnsi="Times New Roman" w:cs="Times New Roman"/>
          <w:color w:val="333333"/>
          <w:kern w:val="0"/>
          <w:lang w:eastAsia="ru-RU"/>
          <w14:ligatures w14:val="none"/>
        </w:rPr>
        <w:t>здійснення правочинів з цінними паперами емітентів, щодо яких є відомості про відсутність за місцезнаходженням юридичної особи або відсутнє підтвердження відомостей про юридичну особу;</w:t>
      </w:r>
    </w:p>
    <w:p w14:paraId="090199BB"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85" w:name="n1021"/>
      <w:bookmarkEnd w:id="185"/>
      <w:r w:rsidRPr="00A6450B">
        <w:rPr>
          <w:rFonts w:ascii="Times New Roman" w:eastAsia="Times New Roman" w:hAnsi="Times New Roman" w:cs="Times New Roman"/>
          <w:color w:val="333333"/>
          <w:kern w:val="0"/>
          <w:lang w:eastAsia="ru-RU"/>
          <w14:ligatures w14:val="none"/>
        </w:rPr>
        <w:t>декларування оборотів за операціями з купівлі-продажу цінних паперів понад 20 відсотків мінімального розміру статутного капіталу для банківської діяльності;</w:t>
      </w:r>
    </w:p>
    <w:p w14:paraId="1D734AF7"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86" w:name="n1022"/>
      <w:bookmarkEnd w:id="186"/>
      <w:r w:rsidRPr="00A6450B">
        <w:rPr>
          <w:rFonts w:ascii="Times New Roman" w:eastAsia="Times New Roman" w:hAnsi="Times New Roman" w:cs="Times New Roman"/>
          <w:color w:val="333333"/>
          <w:kern w:val="0"/>
          <w:lang w:eastAsia="ru-RU"/>
          <w14:ligatures w14:val="none"/>
        </w:rPr>
        <w:t>коригування платником податків податкової звітності з податку на прибуток у бік зменшення податку на прибуток.</w:t>
      </w:r>
    </w:p>
    <w:p w14:paraId="6B0FA9C3"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87" w:name="n1023"/>
      <w:bookmarkEnd w:id="187"/>
      <w:r w:rsidRPr="00A6450B">
        <w:rPr>
          <w:rFonts w:ascii="Times New Roman" w:eastAsia="Times New Roman" w:hAnsi="Times New Roman" w:cs="Times New Roman"/>
          <w:color w:val="333333"/>
          <w:kern w:val="0"/>
          <w:lang w:eastAsia="ru-RU"/>
          <w14:ligatures w14:val="none"/>
        </w:rPr>
        <w:t>7. Критерії відбору небанківських установ:</w:t>
      </w:r>
    </w:p>
    <w:p w14:paraId="52F09B58"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88" w:name="n1024"/>
      <w:bookmarkEnd w:id="188"/>
      <w:r w:rsidRPr="00A6450B">
        <w:rPr>
          <w:rFonts w:ascii="Times New Roman" w:eastAsia="Times New Roman" w:hAnsi="Times New Roman" w:cs="Times New Roman"/>
          <w:color w:val="333333"/>
          <w:kern w:val="0"/>
          <w:lang w:eastAsia="ru-RU"/>
          <w14:ligatures w14:val="none"/>
        </w:rPr>
        <w:t>1) високого ступеня ризику:</w:t>
      </w:r>
    </w:p>
    <w:p w14:paraId="73846265"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89" w:name="n1025"/>
      <w:bookmarkEnd w:id="189"/>
      <w:r w:rsidRPr="00A6450B">
        <w:rPr>
          <w:rFonts w:ascii="Times New Roman" w:eastAsia="Times New Roman" w:hAnsi="Times New Roman" w:cs="Times New Roman"/>
          <w:color w:val="333333"/>
          <w:kern w:val="0"/>
          <w:lang w:eastAsia="ru-RU"/>
          <w14:ligatures w14:val="none"/>
        </w:rPr>
        <w:t>наявність відносин з контрагентами, які знаходяться в розшуку, або ліквідовані, або визнані банкрутами, якщо сума таких операцій перевищує 5 млн грн або перевищує 5 відсотків загальних обсягів постачання, але не менше ніж 100 тис.грн;</w:t>
      </w:r>
    </w:p>
    <w:p w14:paraId="38BFBE51"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90" w:name="n1026"/>
      <w:bookmarkEnd w:id="190"/>
      <w:r w:rsidRPr="00A6450B">
        <w:rPr>
          <w:rFonts w:ascii="Times New Roman" w:eastAsia="Times New Roman" w:hAnsi="Times New Roman" w:cs="Times New Roman"/>
          <w:color w:val="333333"/>
          <w:kern w:val="0"/>
          <w:lang w:eastAsia="ru-RU"/>
          <w14:ligatures w14:val="none"/>
        </w:rPr>
        <w:lastRenderedPageBreak/>
        <w:t>інші витрати перевищують 30 відсотків загальних витрат операційної діяльності;</w:t>
      </w:r>
    </w:p>
    <w:p w14:paraId="2EF50C68"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91" w:name="n1027"/>
      <w:bookmarkEnd w:id="191"/>
      <w:r w:rsidRPr="00A6450B">
        <w:rPr>
          <w:rFonts w:ascii="Times New Roman" w:eastAsia="Times New Roman" w:hAnsi="Times New Roman" w:cs="Times New Roman"/>
          <w:color w:val="333333"/>
          <w:kern w:val="0"/>
          <w:lang w:eastAsia="ru-RU"/>
          <w14:ligatures w14:val="none"/>
        </w:rPr>
        <w:t>наявність інформації про ухилення від оподаткування, отриманої із зовнішніх джерел;</w:t>
      </w:r>
    </w:p>
    <w:p w14:paraId="09E9C99A"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92" w:name="n1028"/>
      <w:bookmarkEnd w:id="192"/>
      <w:r w:rsidRPr="00A6450B">
        <w:rPr>
          <w:rFonts w:ascii="Times New Roman" w:eastAsia="Times New Roman" w:hAnsi="Times New Roman" w:cs="Times New Roman"/>
          <w:color w:val="333333"/>
          <w:kern w:val="0"/>
          <w:lang w:eastAsia="ru-RU"/>
          <w14:ligatures w14:val="none"/>
        </w:rPr>
        <w:t>здійснення платниками податків коригування звітності шляхом зменшення фінансового результату до оподаткування, визначеного у фінансовій звітності підприємства відповідно до національних положень (стандартів) бухгалтерського обліку або міжнародних стандартів фінансової звітності, на різниці понад 30 відсотків;</w:t>
      </w:r>
    </w:p>
    <w:p w14:paraId="68E7C7EC"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93" w:name="n1029"/>
      <w:bookmarkEnd w:id="193"/>
      <w:r w:rsidRPr="00A6450B">
        <w:rPr>
          <w:rFonts w:ascii="Times New Roman" w:eastAsia="Times New Roman" w:hAnsi="Times New Roman" w:cs="Times New Roman"/>
          <w:color w:val="333333"/>
          <w:kern w:val="0"/>
          <w:lang w:eastAsia="ru-RU"/>
          <w14:ligatures w14:val="none"/>
        </w:rPr>
        <w:t>інші операційні витрати перевищують суму матеріальних затрат та витрат на оплату праці;</w:t>
      </w:r>
    </w:p>
    <w:p w14:paraId="1EEDA4AB"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94" w:name="n1030"/>
      <w:bookmarkEnd w:id="194"/>
      <w:r w:rsidRPr="00A6450B">
        <w:rPr>
          <w:rFonts w:ascii="Times New Roman" w:eastAsia="Times New Roman" w:hAnsi="Times New Roman" w:cs="Times New Roman"/>
          <w:color w:val="333333"/>
          <w:kern w:val="0"/>
          <w:lang w:eastAsia="ru-RU"/>
          <w14:ligatures w14:val="none"/>
        </w:rPr>
        <w:t>зростання удвічі та більше кредиторської заборгованості за продукцію (товари, роботи, послуги) протягом двох попередніх (звітних) років при зростанні запасів;</w:t>
      </w:r>
    </w:p>
    <w:p w14:paraId="1DD2F83C"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95" w:name="n1031"/>
      <w:bookmarkEnd w:id="195"/>
      <w:r w:rsidRPr="00A6450B">
        <w:rPr>
          <w:rFonts w:ascii="Times New Roman" w:eastAsia="Times New Roman" w:hAnsi="Times New Roman" w:cs="Times New Roman"/>
          <w:color w:val="333333"/>
          <w:kern w:val="0"/>
          <w:lang w:eastAsia="ru-RU"/>
          <w14:ligatures w14:val="none"/>
        </w:rPr>
        <w:t>сума інших операційних витрат, витрат на збут та адміністративних витрат перевищує собівартість реалізованої продукції (товарів, робіт, послуг);</w:t>
      </w:r>
    </w:p>
    <w:p w14:paraId="4189CD8B"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96" w:name="n1032"/>
      <w:bookmarkEnd w:id="196"/>
      <w:r w:rsidRPr="00A6450B">
        <w:rPr>
          <w:rFonts w:ascii="Times New Roman" w:eastAsia="Times New Roman" w:hAnsi="Times New Roman" w:cs="Times New Roman"/>
          <w:color w:val="333333"/>
          <w:kern w:val="0"/>
          <w:lang w:eastAsia="ru-RU"/>
          <w14:ligatures w14:val="none"/>
        </w:rPr>
        <w:t>декларування від’ємного значення податку на прибуток протягом двох податкових (звітних) періодів за умови, якщо податковим періодом є календарний квартал, або протягом одного податкового (звітного) періоду за умови, якщо податковим періодом є календарний рік;</w:t>
      </w:r>
    </w:p>
    <w:p w14:paraId="5E9F2CBA"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97" w:name="n1033"/>
      <w:bookmarkEnd w:id="197"/>
      <w:r w:rsidRPr="00A6450B">
        <w:rPr>
          <w:rFonts w:ascii="Times New Roman" w:eastAsia="Times New Roman" w:hAnsi="Times New Roman" w:cs="Times New Roman"/>
          <w:color w:val="333333"/>
          <w:kern w:val="0"/>
          <w:lang w:eastAsia="ru-RU"/>
          <w14:ligatures w14:val="none"/>
        </w:rPr>
        <w:t>різниці, що виникають при формуванні страхового резерву небанківських фінансових установ, на які зменшується фінансовий результат, становлять понад 50 відсотків;</w:t>
      </w:r>
    </w:p>
    <w:p w14:paraId="1B83D69B"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98" w:name="n1034"/>
      <w:bookmarkEnd w:id="198"/>
      <w:r w:rsidRPr="00A6450B">
        <w:rPr>
          <w:rFonts w:ascii="Times New Roman" w:eastAsia="Times New Roman" w:hAnsi="Times New Roman" w:cs="Times New Roman"/>
          <w:color w:val="333333"/>
          <w:kern w:val="0"/>
          <w:lang w:eastAsia="ru-RU"/>
          <w14:ligatures w14:val="none"/>
        </w:rPr>
        <w:t>здійснення операцій з цінними паперами, обіг яких скасовано, зупинено за рішенням Національної комісії з цінних паперів та фондового ринку;</w:t>
      </w:r>
    </w:p>
    <w:p w14:paraId="2BCCB587"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99" w:name="n1035"/>
      <w:bookmarkEnd w:id="199"/>
      <w:r w:rsidRPr="00A6450B">
        <w:rPr>
          <w:rFonts w:ascii="Times New Roman" w:eastAsia="Times New Roman" w:hAnsi="Times New Roman" w:cs="Times New Roman"/>
          <w:color w:val="333333"/>
          <w:kern w:val="0"/>
          <w:lang w:eastAsia="ru-RU"/>
          <w14:ligatures w14:val="none"/>
        </w:rPr>
        <w:t>наявність інформації щодо здійснення небанківською установою операцій з купівлі-продажу та інших способів відчуження цінних паперів, емітенти яких за рішенням Національної комісії з цінних паперів та фондового ринку включені до списку емітентів, що мають ознаки фіктивності;</w:t>
      </w:r>
    </w:p>
    <w:p w14:paraId="675CBEE0"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00" w:name="n1036"/>
      <w:bookmarkEnd w:id="200"/>
      <w:r w:rsidRPr="00A6450B">
        <w:rPr>
          <w:rFonts w:ascii="Times New Roman" w:eastAsia="Times New Roman" w:hAnsi="Times New Roman" w:cs="Times New Roman"/>
          <w:color w:val="333333"/>
          <w:kern w:val="0"/>
          <w:lang w:eastAsia="ru-RU"/>
          <w14:ligatures w14:val="none"/>
        </w:rPr>
        <w:t>2) середнього ступеня ризику:</w:t>
      </w:r>
    </w:p>
    <w:p w14:paraId="6C139879"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01" w:name="n1037"/>
      <w:bookmarkEnd w:id="201"/>
      <w:r w:rsidRPr="00A6450B">
        <w:rPr>
          <w:rFonts w:ascii="Times New Roman" w:eastAsia="Times New Roman" w:hAnsi="Times New Roman" w:cs="Times New Roman"/>
          <w:color w:val="333333"/>
          <w:kern w:val="0"/>
          <w:lang w:eastAsia="ru-RU"/>
          <w14:ligatures w14:val="none"/>
        </w:rPr>
        <w:t>відхилення між значеннями фінансового результату до оподаткування (прибуток або збиток), визначеного у фінансовій звітності відповідно до національних положень (стандартів) бухгалтерського обліку або міжнародних стандартів фінансової звітності, задекларованого у податковій звітності, та фінансового результату до оподаткування (прибуток або збиток), задекларованого у фінансовій звітності, понад 10 відсотків;</w:t>
      </w:r>
    </w:p>
    <w:p w14:paraId="46CD58E3"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02" w:name="n1038"/>
      <w:bookmarkEnd w:id="202"/>
      <w:r w:rsidRPr="00A6450B">
        <w:rPr>
          <w:rFonts w:ascii="Times New Roman" w:eastAsia="Times New Roman" w:hAnsi="Times New Roman" w:cs="Times New Roman"/>
          <w:color w:val="333333"/>
          <w:kern w:val="0"/>
          <w:lang w:eastAsia="ru-RU"/>
          <w14:ligatures w14:val="none"/>
        </w:rPr>
        <w:t>нарахування та виплата доходів за ознаками, визначеними </w:t>
      </w:r>
      <w:hyperlink r:id="rId35" w:anchor="n113" w:tgtFrame="_blank" w:history="1">
        <w:r w:rsidRPr="00A6450B">
          <w:rPr>
            <w:rFonts w:ascii="Times New Roman" w:eastAsia="Times New Roman" w:hAnsi="Times New Roman" w:cs="Times New Roman"/>
            <w:color w:val="000099"/>
            <w:kern w:val="0"/>
            <w:u w:val="single"/>
            <w:lang w:eastAsia="ru-RU"/>
            <w14:ligatures w14:val="none"/>
          </w:rPr>
          <w:t>Довідником ознак доходів</w:t>
        </w:r>
      </w:hyperlink>
      <w:r w:rsidRPr="00A6450B">
        <w:rPr>
          <w:rFonts w:ascii="Times New Roman" w:eastAsia="Times New Roman" w:hAnsi="Times New Roman" w:cs="Times New Roman"/>
          <w:color w:val="333333"/>
          <w:kern w:val="0"/>
          <w:lang w:eastAsia="ru-RU"/>
          <w14:ligatures w14:val="none"/>
        </w:rPr>
        <w:t>, 101 (заробітна плата, нарахована (виплачена)) та/або 102 (виплати відповідно до умов цивільно-правового договору), без утримання, перерахування до бюджету податку на доходи фізичних осіб та/або єдиного внеску;</w:t>
      </w:r>
    </w:p>
    <w:p w14:paraId="4ED7CAC4"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03" w:name="n1039"/>
      <w:bookmarkEnd w:id="203"/>
      <w:r w:rsidRPr="00A6450B">
        <w:rPr>
          <w:rFonts w:ascii="Times New Roman" w:eastAsia="Times New Roman" w:hAnsi="Times New Roman" w:cs="Times New Roman"/>
          <w:color w:val="333333"/>
          <w:kern w:val="0"/>
          <w:lang w:eastAsia="ru-RU"/>
          <w14:ligatures w14:val="none"/>
        </w:rPr>
        <w:t>наявність відносин із платниками податків, які обрали спрощену систему оподаткування та є керівниками, засновниками або співробітниками цього підприємства, у сумі операцій понад 5 млн грн або понад 5 відсотків загальних обсягів постачання, але не менше ніж 100 тис.грн;</w:t>
      </w:r>
    </w:p>
    <w:p w14:paraId="478A93EC"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04" w:name="n1040"/>
      <w:bookmarkEnd w:id="204"/>
      <w:r w:rsidRPr="00A6450B">
        <w:rPr>
          <w:rFonts w:ascii="Times New Roman" w:eastAsia="Times New Roman" w:hAnsi="Times New Roman" w:cs="Times New Roman"/>
          <w:color w:val="333333"/>
          <w:kern w:val="0"/>
          <w:lang w:eastAsia="ru-RU"/>
          <w14:ligatures w14:val="none"/>
        </w:rPr>
        <w:lastRenderedPageBreak/>
        <w:t>різниці, що виникають при формуванні резервів (забезпечень), та різниці, які зменшують фінансовий результат, у сумі становлять понад 30 відсотків різниць, на які збільшується фінансовий результат;</w:t>
      </w:r>
    </w:p>
    <w:p w14:paraId="2A59B2F5"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05" w:name="n1041"/>
      <w:bookmarkEnd w:id="205"/>
      <w:r w:rsidRPr="00A6450B">
        <w:rPr>
          <w:rFonts w:ascii="Times New Roman" w:eastAsia="Times New Roman" w:hAnsi="Times New Roman" w:cs="Times New Roman"/>
          <w:color w:val="333333"/>
          <w:kern w:val="0"/>
          <w:lang w:eastAsia="ru-RU"/>
          <w14:ligatures w14:val="none"/>
        </w:rPr>
        <w:t>здійснення платником податків коригування звітності шляхом зменшення фінансового результату до оподаткування, визначеного у фінансовій звітності підприємства відповідно до національних положень (стандартів) бухгалтерського обліку або міжнародних стандартів фінансової звітності, на різниці від 20 до 30 відсотків;</w:t>
      </w:r>
    </w:p>
    <w:p w14:paraId="4E331BE6"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06" w:name="n1042"/>
      <w:bookmarkEnd w:id="206"/>
      <w:r w:rsidRPr="00A6450B">
        <w:rPr>
          <w:rFonts w:ascii="Times New Roman" w:eastAsia="Times New Roman" w:hAnsi="Times New Roman" w:cs="Times New Roman"/>
          <w:color w:val="333333"/>
          <w:kern w:val="0"/>
          <w:lang w:eastAsia="ru-RU"/>
          <w14:ligatures w14:val="none"/>
        </w:rPr>
        <w:t>нарахування та виплата доходів за ознакою 157 (дохід, виплачений самозайнятій особі), визначеною </w:t>
      </w:r>
      <w:hyperlink r:id="rId36" w:anchor="n113" w:tgtFrame="_blank" w:history="1">
        <w:r w:rsidRPr="00A6450B">
          <w:rPr>
            <w:rFonts w:ascii="Times New Roman" w:eastAsia="Times New Roman" w:hAnsi="Times New Roman" w:cs="Times New Roman"/>
            <w:color w:val="000099"/>
            <w:kern w:val="0"/>
            <w:u w:val="single"/>
            <w:lang w:eastAsia="ru-RU"/>
            <w14:ligatures w14:val="none"/>
          </w:rPr>
          <w:t>Довідником ознак доходів</w:t>
        </w:r>
      </w:hyperlink>
      <w:r w:rsidRPr="00A6450B">
        <w:rPr>
          <w:rFonts w:ascii="Times New Roman" w:eastAsia="Times New Roman" w:hAnsi="Times New Roman" w:cs="Times New Roman"/>
          <w:color w:val="333333"/>
          <w:kern w:val="0"/>
          <w:lang w:eastAsia="ru-RU"/>
          <w14:ligatures w14:val="none"/>
        </w:rPr>
        <w:t>, у сумі понад 5 відсотків загального обсягу доходу від будь-якої діяльності (за вирахуванням непрямих податків), визначеного за правилами бухгалтерського обліку;</w:t>
      </w:r>
    </w:p>
    <w:p w14:paraId="19C2178E"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07" w:name="n1043"/>
      <w:bookmarkEnd w:id="207"/>
      <w:r w:rsidRPr="00A6450B">
        <w:rPr>
          <w:rFonts w:ascii="Times New Roman" w:eastAsia="Times New Roman" w:hAnsi="Times New Roman" w:cs="Times New Roman"/>
          <w:color w:val="333333"/>
          <w:kern w:val="0"/>
          <w:lang w:eastAsia="ru-RU"/>
          <w14:ligatures w14:val="none"/>
        </w:rPr>
        <w:t>рівень сплати податку на прибуток небанківської установи (крім неприбуткових установ і організацій) нижчий за рівень сплати податку за відповідною галуззю;</w:t>
      </w:r>
    </w:p>
    <w:p w14:paraId="460E63A0"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08" w:name="n1044"/>
      <w:bookmarkEnd w:id="208"/>
      <w:r w:rsidRPr="00A6450B">
        <w:rPr>
          <w:rFonts w:ascii="Times New Roman" w:eastAsia="Times New Roman" w:hAnsi="Times New Roman" w:cs="Times New Roman"/>
          <w:color w:val="333333"/>
          <w:kern w:val="0"/>
          <w:lang w:eastAsia="ru-RU"/>
          <w14:ligatures w14:val="none"/>
        </w:rPr>
        <w:t>декларування небанківськими установами обсягів операцій з цінними паперами понад 50 відсотків зареєстрованого статутного капіталу;</w:t>
      </w:r>
    </w:p>
    <w:p w14:paraId="3110BE14"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09" w:name="n1045"/>
      <w:bookmarkEnd w:id="209"/>
      <w:r w:rsidRPr="00A6450B">
        <w:rPr>
          <w:rFonts w:ascii="Times New Roman" w:eastAsia="Times New Roman" w:hAnsi="Times New Roman" w:cs="Times New Roman"/>
          <w:color w:val="333333"/>
          <w:kern w:val="0"/>
          <w:lang w:eastAsia="ru-RU"/>
          <w14:ligatures w14:val="none"/>
        </w:rPr>
        <w:t>декларування від’ємного фінансового результату за операціями з цінними паперами попереднього податкового (звітного) періоду;</w:t>
      </w:r>
    </w:p>
    <w:p w14:paraId="6A58CDA5"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10" w:name="n1046"/>
      <w:bookmarkEnd w:id="210"/>
      <w:r w:rsidRPr="00A6450B">
        <w:rPr>
          <w:rFonts w:ascii="Times New Roman" w:eastAsia="Times New Roman" w:hAnsi="Times New Roman" w:cs="Times New Roman"/>
          <w:color w:val="333333"/>
          <w:kern w:val="0"/>
          <w:lang w:eastAsia="ru-RU"/>
          <w14:ligatures w14:val="none"/>
        </w:rPr>
        <w:t>здійснення виплати доходів (відсотки, роялті, лізингові платежі тощо) нерезидентам;</w:t>
      </w:r>
    </w:p>
    <w:p w14:paraId="6BD61E9C"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11" w:name="n1047"/>
      <w:bookmarkEnd w:id="211"/>
      <w:r w:rsidRPr="00A6450B">
        <w:rPr>
          <w:rFonts w:ascii="Times New Roman" w:eastAsia="Times New Roman" w:hAnsi="Times New Roman" w:cs="Times New Roman"/>
          <w:color w:val="333333"/>
          <w:kern w:val="0"/>
          <w:lang w:eastAsia="ru-RU"/>
          <w14:ligatures w14:val="none"/>
        </w:rPr>
        <w:t>здійснення правочинів з цінними паперами емітентів, щодо яких винесено постанову суду про припинення юридичної особи або визнання юридичної особи банкрутом;</w:t>
      </w:r>
    </w:p>
    <w:p w14:paraId="1061478D"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12" w:name="n1048"/>
      <w:bookmarkEnd w:id="212"/>
      <w:r w:rsidRPr="00A6450B">
        <w:rPr>
          <w:rFonts w:ascii="Times New Roman" w:eastAsia="Times New Roman" w:hAnsi="Times New Roman" w:cs="Times New Roman"/>
          <w:color w:val="333333"/>
          <w:kern w:val="0"/>
          <w:lang w:eastAsia="ru-RU"/>
          <w14:ligatures w14:val="none"/>
        </w:rPr>
        <w:t>наявність інформації правоохоронних органів, структурних підрозділів органів ДПС про ухилення від оподаткування та/або щодо взаємовідносин із платниками податків, які мають ознаки фіктивності, або реєстрацію яких скасовано у судовому порядку, або які знаходяться у розшуку, або не звітують, або визнані банкрутами, або щодо яких порушено кримінальні справи, які пов’язані з ухиленням від сплати податків, зборів (платежів), єдиного внеску та страхових внесків на загальнообов’язкове державне пенсійне страхування;</w:t>
      </w:r>
    </w:p>
    <w:p w14:paraId="7F02AFE1"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13" w:name="n1049"/>
      <w:bookmarkEnd w:id="213"/>
      <w:r w:rsidRPr="00A6450B">
        <w:rPr>
          <w:rFonts w:ascii="Times New Roman" w:eastAsia="Times New Roman" w:hAnsi="Times New Roman" w:cs="Times New Roman"/>
          <w:color w:val="333333"/>
          <w:kern w:val="0"/>
          <w:lang w:eastAsia="ru-RU"/>
          <w14:ligatures w14:val="none"/>
        </w:rPr>
        <w:t>декларування премій, переданих у перестрахування, понад 40 відсотків від суми чистих зароблених премій та премій підписаних відповідно;</w:t>
      </w:r>
    </w:p>
    <w:p w14:paraId="25224BC4"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14" w:name="n1050"/>
      <w:bookmarkEnd w:id="214"/>
      <w:r w:rsidRPr="00A6450B">
        <w:rPr>
          <w:rFonts w:ascii="Times New Roman" w:eastAsia="Times New Roman" w:hAnsi="Times New Roman" w:cs="Times New Roman"/>
          <w:color w:val="333333"/>
          <w:kern w:val="0"/>
          <w:lang w:eastAsia="ru-RU"/>
          <w14:ligatures w14:val="none"/>
        </w:rPr>
        <w:t>чисті понесені збитки за страховими виплатами становлять 10 та більше відсотків від суми чистих зароблених премій;</w:t>
      </w:r>
    </w:p>
    <w:p w14:paraId="2FC16FCD"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15" w:name="n1051"/>
      <w:bookmarkEnd w:id="215"/>
      <w:r w:rsidRPr="00A6450B">
        <w:rPr>
          <w:rFonts w:ascii="Times New Roman" w:eastAsia="Times New Roman" w:hAnsi="Times New Roman" w:cs="Times New Roman"/>
          <w:color w:val="333333"/>
          <w:kern w:val="0"/>
          <w:lang w:eastAsia="ru-RU"/>
          <w14:ligatures w14:val="none"/>
        </w:rPr>
        <w:t>суми витрат на збут та інших операційних витрат перевищують 40 відсотків від суми чистих зароблених премій;</w:t>
      </w:r>
    </w:p>
    <w:p w14:paraId="2AEADDE5"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16" w:name="n1052"/>
      <w:bookmarkEnd w:id="216"/>
      <w:r w:rsidRPr="00A6450B">
        <w:rPr>
          <w:rFonts w:ascii="Times New Roman" w:eastAsia="Times New Roman" w:hAnsi="Times New Roman" w:cs="Times New Roman"/>
          <w:color w:val="333333"/>
          <w:kern w:val="0"/>
          <w:lang w:eastAsia="ru-RU"/>
          <w14:ligatures w14:val="none"/>
        </w:rPr>
        <w:t>3) незначного ступеня ризику:</w:t>
      </w:r>
    </w:p>
    <w:p w14:paraId="0F4F6C8A"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17" w:name="n1053"/>
      <w:bookmarkEnd w:id="217"/>
      <w:r w:rsidRPr="00A6450B">
        <w:rPr>
          <w:rFonts w:ascii="Times New Roman" w:eastAsia="Times New Roman" w:hAnsi="Times New Roman" w:cs="Times New Roman"/>
          <w:color w:val="333333"/>
          <w:kern w:val="0"/>
          <w:lang w:eastAsia="ru-RU"/>
          <w14:ligatures w14:val="none"/>
        </w:rPr>
        <w:t>здійснення платником податків коригування звітності шляхом зменшення фінансового результату до оподаткування, визначеного у фінансовій звітності підприємства відповідно до національних положень (стандартів) бухгалтерського обліку або міжнародних стандартів фінансової звітності, на різниці від 10 до 20 відсотків;</w:t>
      </w:r>
    </w:p>
    <w:p w14:paraId="7503B582"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18" w:name="n1054"/>
      <w:bookmarkEnd w:id="218"/>
      <w:r w:rsidRPr="00A6450B">
        <w:rPr>
          <w:rFonts w:ascii="Times New Roman" w:eastAsia="Times New Roman" w:hAnsi="Times New Roman" w:cs="Times New Roman"/>
          <w:color w:val="333333"/>
          <w:kern w:val="0"/>
          <w:lang w:eastAsia="ru-RU"/>
          <w14:ligatures w14:val="none"/>
        </w:rPr>
        <w:lastRenderedPageBreak/>
        <w:t>здійснення правочинів з цінними паперами емітентів, щодо яких є відомості про відсутність за місцезнаходженням юридичної особи або відсутнє підтвердження відомостей про юридичну особу;</w:t>
      </w:r>
    </w:p>
    <w:p w14:paraId="2A573217"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19" w:name="n1055"/>
      <w:bookmarkEnd w:id="219"/>
      <w:r w:rsidRPr="00A6450B">
        <w:rPr>
          <w:rFonts w:ascii="Times New Roman" w:eastAsia="Times New Roman" w:hAnsi="Times New Roman" w:cs="Times New Roman"/>
          <w:color w:val="333333"/>
          <w:kern w:val="0"/>
          <w:lang w:eastAsia="ru-RU"/>
          <w14:ligatures w14:val="none"/>
        </w:rPr>
        <w:t>декларування оборотів за операціями з купівлі-продажу цінних паперів понад 20 млн грн;</w:t>
      </w:r>
    </w:p>
    <w:p w14:paraId="6E296B8D"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20" w:name="n1056"/>
      <w:bookmarkEnd w:id="220"/>
      <w:r w:rsidRPr="00A6450B">
        <w:rPr>
          <w:rFonts w:ascii="Times New Roman" w:eastAsia="Times New Roman" w:hAnsi="Times New Roman" w:cs="Times New Roman"/>
          <w:color w:val="333333"/>
          <w:kern w:val="0"/>
          <w:lang w:eastAsia="ru-RU"/>
          <w14:ligatures w14:val="none"/>
        </w:rPr>
        <w:t>перевищення кредиторської заборгованості над дебіторською заборгованістю;</w:t>
      </w:r>
    </w:p>
    <w:p w14:paraId="46100033"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21" w:name="n1057"/>
      <w:bookmarkEnd w:id="221"/>
      <w:r w:rsidRPr="00A6450B">
        <w:rPr>
          <w:rFonts w:ascii="Times New Roman" w:eastAsia="Times New Roman" w:hAnsi="Times New Roman" w:cs="Times New Roman"/>
          <w:color w:val="333333"/>
          <w:kern w:val="0"/>
          <w:lang w:eastAsia="ru-RU"/>
          <w14:ligatures w14:val="none"/>
        </w:rPr>
        <w:t>коригування платником податків податкової звітності з податку на прибуток у бік зменшення податкових зобов’язань;</w:t>
      </w:r>
    </w:p>
    <w:p w14:paraId="6EE487A8"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22" w:name="n1058"/>
      <w:bookmarkEnd w:id="222"/>
      <w:r w:rsidRPr="00A6450B">
        <w:rPr>
          <w:rFonts w:ascii="Times New Roman" w:eastAsia="Times New Roman" w:hAnsi="Times New Roman" w:cs="Times New Roman"/>
          <w:color w:val="333333"/>
          <w:kern w:val="0"/>
          <w:lang w:eastAsia="ru-RU"/>
          <w14:ligatures w14:val="none"/>
        </w:rPr>
        <w:t>відсутність у неприбуткових установ і організацій інших доходів, які підлягають оподаткуванню.</w:t>
      </w:r>
    </w:p>
    <w:p w14:paraId="50351DC9"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23" w:name="n1059"/>
      <w:bookmarkEnd w:id="223"/>
      <w:r w:rsidRPr="00A6450B">
        <w:rPr>
          <w:rFonts w:ascii="Times New Roman" w:eastAsia="Times New Roman" w:hAnsi="Times New Roman" w:cs="Times New Roman"/>
          <w:color w:val="333333"/>
          <w:kern w:val="0"/>
          <w:lang w:eastAsia="ru-RU"/>
          <w14:ligatures w14:val="none"/>
        </w:rPr>
        <w:t>8. Критерії відбору платників податків - постійних представництв та представництв нерезидентів:</w:t>
      </w:r>
    </w:p>
    <w:p w14:paraId="20C4751F"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24" w:name="n1060"/>
      <w:bookmarkEnd w:id="224"/>
      <w:r w:rsidRPr="00A6450B">
        <w:rPr>
          <w:rFonts w:ascii="Times New Roman" w:eastAsia="Times New Roman" w:hAnsi="Times New Roman" w:cs="Times New Roman"/>
          <w:color w:val="333333"/>
          <w:kern w:val="0"/>
          <w:lang w:eastAsia="ru-RU"/>
          <w14:ligatures w14:val="none"/>
        </w:rPr>
        <w:t>1) високого ступеня ризику:</w:t>
      </w:r>
    </w:p>
    <w:p w14:paraId="2BCDFC95"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25" w:name="n1061"/>
      <w:bookmarkEnd w:id="225"/>
      <w:r w:rsidRPr="00A6450B">
        <w:rPr>
          <w:rFonts w:ascii="Times New Roman" w:eastAsia="Times New Roman" w:hAnsi="Times New Roman" w:cs="Times New Roman"/>
          <w:color w:val="333333"/>
          <w:kern w:val="0"/>
          <w:lang w:eastAsia="ru-RU"/>
          <w14:ligatures w14:val="none"/>
        </w:rPr>
        <w:t>рівень зростання податку на прибуток нижчий на 50 та більше відсотків за рівень зростання доходів платника податків, що враховуються при визначенні об’єкта оподаткування;</w:t>
      </w:r>
    </w:p>
    <w:p w14:paraId="185F9D33"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26" w:name="n1062"/>
      <w:bookmarkEnd w:id="226"/>
      <w:r w:rsidRPr="00A6450B">
        <w:rPr>
          <w:rFonts w:ascii="Times New Roman" w:eastAsia="Times New Roman" w:hAnsi="Times New Roman" w:cs="Times New Roman"/>
          <w:color w:val="333333"/>
          <w:kern w:val="0"/>
          <w:lang w:eastAsia="ru-RU"/>
          <w14:ligatures w14:val="none"/>
        </w:rPr>
        <w:t>наявність відносин з контрагентами, які знаходяться в розшуку, або ліквідовані, або визнані банкрутами, якщо сума таких операцій перевищує 5 відсотків загальних обсягів постачання, але не менше ніж 100 тис.грн;</w:t>
      </w:r>
    </w:p>
    <w:p w14:paraId="271E626E" w14:textId="77777777" w:rsidR="00A6450B" w:rsidRPr="00A6450B" w:rsidRDefault="00A6450B" w:rsidP="00A6450B">
      <w:pPr>
        <w:spacing w:after="150" w:line="240" w:lineRule="auto"/>
        <w:ind w:firstLine="450"/>
        <w:jc w:val="both"/>
        <w:rPr>
          <w:rFonts w:ascii="Times New Roman" w:eastAsia="Times New Roman" w:hAnsi="Times New Roman" w:cs="Times New Roman"/>
          <w:i/>
          <w:iCs/>
          <w:color w:val="999999"/>
          <w:kern w:val="0"/>
          <w:lang w:eastAsia="ru-RU"/>
          <w14:ligatures w14:val="none"/>
        </w:rPr>
      </w:pPr>
      <w:bookmarkStart w:id="227" w:name="n1063"/>
      <w:bookmarkEnd w:id="227"/>
      <w:r w:rsidRPr="00A6450B">
        <w:rPr>
          <w:rFonts w:ascii="Times New Roman" w:eastAsia="Times New Roman" w:hAnsi="Times New Roman" w:cs="Times New Roman"/>
          <w:i/>
          <w:iCs/>
          <w:color w:val="999999"/>
          <w:kern w:val="0"/>
          <w:lang w:eastAsia="ru-RU"/>
          <w14:ligatures w14:val="none"/>
        </w:rPr>
        <w:t>{Абзац четвертий підпункту 1 пункту 8 розділу III виключено на підставі Наказу Міністерства фінансів </w:t>
      </w:r>
      <w:hyperlink r:id="rId37" w:anchor="n41" w:tgtFrame="_blank" w:history="1">
        <w:r w:rsidRPr="00A6450B">
          <w:rPr>
            <w:rFonts w:ascii="Times New Roman" w:eastAsia="Times New Roman" w:hAnsi="Times New Roman" w:cs="Times New Roman"/>
            <w:i/>
            <w:iCs/>
            <w:color w:val="666666"/>
            <w:kern w:val="0"/>
            <w:u w:val="single"/>
            <w:lang w:eastAsia="ru-RU"/>
            <w14:ligatures w14:val="none"/>
          </w:rPr>
          <w:t>№ 655 від 10.12.2021</w:t>
        </w:r>
      </w:hyperlink>
      <w:r w:rsidRPr="00A6450B">
        <w:rPr>
          <w:rFonts w:ascii="Times New Roman" w:eastAsia="Times New Roman" w:hAnsi="Times New Roman" w:cs="Times New Roman"/>
          <w:i/>
          <w:iCs/>
          <w:color w:val="999999"/>
          <w:kern w:val="0"/>
          <w:lang w:eastAsia="ru-RU"/>
          <w14:ligatures w14:val="none"/>
        </w:rPr>
        <w:t>}</w:t>
      </w:r>
    </w:p>
    <w:p w14:paraId="53B2D294"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28" w:name="n1064"/>
      <w:bookmarkEnd w:id="228"/>
      <w:r w:rsidRPr="00A6450B">
        <w:rPr>
          <w:rFonts w:ascii="Times New Roman" w:eastAsia="Times New Roman" w:hAnsi="Times New Roman" w:cs="Times New Roman"/>
          <w:color w:val="333333"/>
          <w:kern w:val="0"/>
          <w:lang w:eastAsia="ru-RU"/>
          <w14:ligatures w14:val="none"/>
        </w:rPr>
        <w:t>наявність інформації правоохоронних органів, структурних підрозділів органів ДПС, що свідчить про ухилення від оподаткування та/або про взаємовідносини з платниками податків, реєстрацію яких скасовано у судовому порядку, або стосовно яких заведено оперативно-розшукову справу, або щодо яких порушено кримінальні справи, які пов’язані з ухиленням від сплати податків, зборів (платежів), єдиного внеску та страхових внесків на загальнообов’язкове державне пенсійне страхування;</w:t>
      </w:r>
    </w:p>
    <w:p w14:paraId="0E454F96"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29" w:name="n1065"/>
      <w:bookmarkEnd w:id="229"/>
      <w:r w:rsidRPr="00A6450B">
        <w:rPr>
          <w:rFonts w:ascii="Times New Roman" w:eastAsia="Times New Roman" w:hAnsi="Times New Roman" w:cs="Times New Roman"/>
          <w:color w:val="333333"/>
          <w:kern w:val="0"/>
          <w:lang w:eastAsia="ru-RU"/>
          <w14:ligatures w14:val="none"/>
        </w:rPr>
        <w:t>декларування нарахованої заробітної плати за відсутності декларування об’єкта оподаткування податком на прибуток або декларування доходу, звільненого від оподаткування відповідно до міжнародного договору України;</w:t>
      </w:r>
    </w:p>
    <w:p w14:paraId="140ADC7A"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30" w:name="n1066"/>
      <w:bookmarkEnd w:id="230"/>
      <w:r w:rsidRPr="00A6450B">
        <w:rPr>
          <w:rFonts w:ascii="Times New Roman" w:eastAsia="Times New Roman" w:hAnsi="Times New Roman" w:cs="Times New Roman"/>
          <w:color w:val="333333"/>
          <w:kern w:val="0"/>
          <w:lang w:eastAsia="ru-RU"/>
          <w14:ligatures w14:val="none"/>
        </w:rPr>
        <w:t>2) середнього ступеня ризику:</w:t>
      </w:r>
    </w:p>
    <w:p w14:paraId="7FB8E386"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31" w:name="n1067"/>
      <w:bookmarkEnd w:id="231"/>
      <w:r w:rsidRPr="00A6450B">
        <w:rPr>
          <w:rFonts w:ascii="Times New Roman" w:eastAsia="Times New Roman" w:hAnsi="Times New Roman" w:cs="Times New Roman"/>
          <w:color w:val="333333"/>
          <w:kern w:val="0"/>
          <w:lang w:eastAsia="ru-RU"/>
          <w14:ligatures w14:val="none"/>
        </w:rPr>
        <w:t>обсяги витрат становлять понад 70 відсотків доходів при декларуванні допоміжного виду діяльності;</w:t>
      </w:r>
    </w:p>
    <w:p w14:paraId="72FD7626"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32" w:name="n1068"/>
      <w:bookmarkEnd w:id="232"/>
      <w:r w:rsidRPr="00A6450B">
        <w:rPr>
          <w:rFonts w:ascii="Times New Roman" w:eastAsia="Times New Roman" w:hAnsi="Times New Roman" w:cs="Times New Roman"/>
          <w:color w:val="333333"/>
          <w:kern w:val="0"/>
          <w:lang w:eastAsia="ru-RU"/>
          <w14:ligatures w14:val="none"/>
        </w:rPr>
        <w:t>наявність відхилень між значеннями основних показників фінансової та податкової звітності понад 10 відсотків;</w:t>
      </w:r>
    </w:p>
    <w:p w14:paraId="00AA945B"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33" w:name="n1069"/>
      <w:bookmarkEnd w:id="233"/>
      <w:r w:rsidRPr="00A6450B">
        <w:rPr>
          <w:rFonts w:ascii="Times New Roman" w:eastAsia="Times New Roman" w:hAnsi="Times New Roman" w:cs="Times New Roman"/>
          <w:color w:val="333333"/>
          <w:kern w:val="0"/>
          <w:lang w:eastAsia="ru-RU"/>
          <w14:ligatures w14:val="none"/>
        </w:rPr>
        <w:t>показники податкової звітності, які характеризують діяльність постійних представництв та представництв нерезидентів, свідчать про можливість заниження податку на прибуток або ризики несплати податків;</w:t>
      </w:r>
    </w:p>
    <w:p w14:paraId="2B0A26F9"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34" w:name="n1070"/>
      <w:bookmarkEnd w:id="234"/>
      <w:r w:rsidRPr="00A6450B">
        <w:rPr>
          <w:rFonts w:ascii="Times New Roman" w:eastAsia="Times New Roman" w:hAnsi="Times New Roman" w:cs="Times New Roman"/>
          <w:color w:val="333333"/>
          <w:kern w:val="0"/>
          <w:lang w:eastAsia="ru-RU"/>
          <w14:ligatures w14:val="none"/>
        </w:rPr>
        <w:t xml:space="preserve">здійснення платником податків коригування звітності шляхом зменшення фінансового результату до оподаткування, визначеного у фінансовій звітності підприємства відповідно до національних положень (стандартів) бухгалтерського обліку </w:t>
      </w:r>
      <w:r w:rsidRPr="00A6450B">
        <w:rPr>
          <w:rFonts w:ascii="Times New Roman" w:eastAsia="Times New Roman" w:hAnsi="Times New Roman" w:cs="Times New Roman"/>
          <w:color w:val="333333"/>
          <w:kern w:val="0"/>
          <w:lang w:eastAsia="ru-RU"/>
          <w14:ligatures w14:val="none"/>
        </w:rPr>
        <w:lastRenderedPageBreak/>
        <w:t>або міжнародних стандартів фінансової звітності, на різниці, що у сумі перевищують 10 відсотків;</w:t>
      </w:r>
    </w:p>
    <w:p w14:paraId="3F85F5FA"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35" w:name="n1071"/>
      <w:bookmarkEnd w:id="235"/>
      <w:r w:rsidRPr="00A6450B">
        <w:rPr>
          <w:rFonts w:ascii="Times New Roman" w:eastAsia="Times New Roman" w:hAnsi="Times New Roman" w:cs="Times New Roman"/>
          <w:color w:val="333333"/>
          <w:kern w:val="0"/>
          <w:lang w:eastAsia="ru-RU"/>
          <w14:ligatures w14:val="none"/>
        </w:rPr>
        <w:t>здійснення виплати доходів (відсотки, роялті, лізингові платежі тощо) нерезидентам;</w:t>
      </w:r>
    </w:p>
    <w:p w14:paraId="113A3CCC"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36" w:name="n1072"/>
      <w:bookmarkEnd w:id="236"/>
      <w:r w:rsidRPr="00A6450B">
        <w:rPr>
          <w:rFonts w:ascii="Times New Roman" w:eastAsia="Times New Roman" w:hAnsi="Times New Roman" w:cs="Times New Roman"/>
          <w:color w:val="333333"/>
          <w:kern w:val="0"/>
          <w:lang w:eastAsia="ru-RU"/>
          <w14:ligatures w14:val="none"/>
        </w:rPr>
        <w:t>3) незначного ступеня ризику:</w:t>
      </w:r>
    </w:p>
    <w:p w14:paraId="023B0620"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37" w:name="n1073"/>
      <w:bookmarkEnd w:id="237"/>
      <w:r w:rsidRPr="00A6450B">
        <w:rPr>
          <w:rFonts w:ascii="Times New Roman" w:eastAsia="Times New Roman" w:hAnsi="Times New Roman" w:cs="Times New Roman"/>
          <w:color w:val="333333"/>
          <w:kern w:val="0"/>
          <w:lang w:eastAsia="ru-RU"/>
          <w14:ligatures w14:val="none"/>
        </w:rPr>
        <w:t>декларування від’ємного значення об’єкта оподаткування податком на прибуток протягом двох податкових (звітних) періодів за умови, якщо податковим періодом є календарний квартал, або протягом одного податкового (звітного) періоду за умови, якщо податковим періодом є календарний рік.</w:t>
      </w:r>
    </w:p>
    <w:p w14:paraId="2D66ACF4" w14:textId="77777777" w:rsidR="00A6450B" w:rsidRPr="00A6450B" w:rsidRDefault="00A6450B" w:rsidP="00A6450B">
      <w:pPr>
        <w:spacing w:before="150" w:after="150" w:line="240" w:lineRule="auto"/>
        <w:ind w:left="450" w:right="450"/>
        <w:jc w:val="center"/>
        <w:rPr>
          <w:rFonts w:ascii="Times New Roman" w:eastAsia="Times New Roman" w:hAnsi="Times New Roman" w:cs="Times New Roman"/>
          <w:color w:val="333333"/>
          <w:kern w:val="0"/>
          <w:lang w:eastAsia="ru-RU"/>
          <w14:ligatures w14:val="none"/>
        </w:rPr>
      </w:pPr>
      <w:bookmarkStart w:id="238" w:name="n1074"/>
      <w:bookmarkEnd w:id="238"/>
      <w:r w:rsidRPr="00A6450B">
        <w:rPr>
          <w:rFonts w:ascii="Times New Roman" w:eastAsia="Times New Roman" w:hAnsi="Times New Roman" w:cs="Times New Roman"/>
          <w:b/>
          <w:bCs/>
          <w:color w:val="333333"/>
          <w:kern w:val="0"/>
          <w:sz w:val="28"/>
          <w:szCs w:val="28"/>
          <w:lang w:eastAsia="ru-RU"/>
          <w14:ligatures w14:val="none"/>
        </w:rPr>
        <w:t>IV. Порядок відбору до плану-графіка платників податків - фізичних осіб</w:t>
      </w:r>
    </w:p>
    <w:p w14:paraId="5705D061"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39" w:name="n1075"/>
      <w:bookmarkEnd w:id="239"/>
      <w:r w:rsidRPr="00A6450B">
        <w:rPr>
          <w:rFonts w:ascii="Times New Roman" w:eastAsia="Times New Roman" w:hAnsi="Times New Roman" w:cs="Times New Roman"/>
          <w:color w:val="333333"/>
          <w:kern w:val="0"/>
          <w:lang w:eastAsia="ru-RU"/>
          <w14:ligatures w14:val="none"/>
        </w:rPr>
        <w:t>1. До розділу III плану-графіка відбираються платники податків - фізичні особи, які мають ризики несплати податків і зборів, невиконання іншого законодавства, контроль за яким покладено на контролюючі органи.</w:t>
      </w:r>
    </w:p>
    <w:p w14:paraId="1517EB83"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40" w:name="n1076"/>
      <w:bookmarkEnd w:id="240"/>
      <w:r w:rsidRPr="00A6450B">
        <w:rPr>
          <w:rFonts w:ascii="Times New Roman" w:eastAsia="Times New Roman" w:hAnsi="Times New Roman" w:cs="Times New Roman"/>
          <w:color w:val="333333"/>
          <w:kern w:val="0"/>
          <w:lang w:eastAsia="ru-RU"/>
          <w14:ligatures w14:val="none"/>
        </w:rPr>
        <w:t>2. Формування переліку платників податків - фізичних осіб до розділу III плану-графіка проводиться за критеріями ризиків згідно з вимогами цього розділу, у тому числі за даними інформаційно-телекомунікаційних систем контролюючих органів.</w:t>
      </w:r>
    </w:p>
    <w:p w14:paraId="51B2C500"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41" w:name="n1077"/>
      <w:bookmarkEnd w:id="241"/>
      <w:r w:rsidRPr="00A6450B">
        <w:rPr>
          <w:rFonts w:ascii="Times New Roman" w:eastAsia="Times New Roman" w:hAnsi="Times New Roman" w:cs="Times New Roman"/>
          <w:color w:val="333333"/>
          <w:kern w:val="0"/>
          <w:lang w:eastAsia="ru-RU"/>
          <w14:ligatures w14:val="none"/>
        </w:rPr>
        <w:t>3. До плану-графіка насамперед включаються платники податків - фізичні особи, які мають найбільші ризики несплати до бюджету податків та зборів, платежів.</w:t>
      </w:r>
    </w:p>
    <w:p w14:paraId="523C649F"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42" w:name="n1078"/>
      <w:bookmarkEnd w:id="242"/>
      <w:r w:rsidRPr="00A6450B">
        <w:rPr>
          <w:rFonts w:ascii="Times New Roman" w:eastAsia="Times New Roman" w:hAnsi="Times New Roman" w:cs="Times New Roman"/>
          <w:color w:val="333333"/>
          <w:kern w:val="0"/>
          <w:lang w:eastAsia="ru-RU"/>
          <w14:ligatures w14:val="none"/>
        </w:rPr>
        <w:t>4. Критерії відбору платників податків - фізичних осіб:</w:t>
      </w:r>
    </w:p>
    <w:p w14:paraId="71ECF682"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43" w:name="n1079"/>
      <w:bookmarkEnd w:id="243"/>
      <w:r w:rsidRPr="00A6450B">
        <w:rPr>
          <w:rFonts w:ascii="Times New Roman" w:eastAsia="Times New Roman" w:hAnsi="Times New Roman" w:cs="Times New Roman"/>
          <w:color w:val="333333"/>
          <w:kern w:val="0"/>
          <w:lang w:eastAsia="ru-RU"/>
          <w14:ligatures w14:val="none"/>
        </w:rPr>
        <w:t>1) високого ступеня ризику:</w:t>
      </w:r>
    </w:p>
    <w:p w14:paraId="2AB9D5C2"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44" w:name="n1080"/>
      <w:bookmarkEnd w:id="244"/>
      <w:r w:rsidRPr="00A6450B">
        <w:rPr>
          <w:rFonts w:ascii="Times New Roman" w:eastAsia="Times New Roman" w:hAnsi="Times New Roman" w:cs="Times New Roman"/>
          <w:color w:val="333333"/>
          <w:kern w:val="0"/>
          <w:lang w:eastAsia="ru-RU"/>
          <w14:ligatures w14:val="none"/>
        </w:rPr>
        <w:t>перевищення сумою доходів, отриманих платником податків за ознаками, визначеними </w:t>
      </w:r>
      <w:hyperlink r:id="rId38" w:anchor="n113" w:tgtFrame="_blank" w:history="1">
        <w:r w:rsidRPr="00A6450B">
          <w:rPr>
            <w:rFonts w:ascii="Times New Roman" w:eastAsia="Times New Roman" w:hAnsi="Times New Roman" w:cs="Times New Roman"/>
            <w:color w:val="000099"/>
            <w:kern w:val="0"/>
            <w:u w:val="single"/>
            <w:lang w:eastAsia="ru-RU"/>
            <w14:ligatures w14:val="none"/>
          </w:rPr>
          <w:t>Довідником ознак доходів</w:t>
        </w:r>
      </w:hyperlink>
      <w:r w:rsidRPr="00A6450B">
        <w:rPr>
          <w:rFonts w:ascii="Times New Roman" w:eastAsia="Times New Roman" w:hAnsi="Times New Roman" w:cs="Times New Roman"/>
          <w:color w:val="333333"/>
          <w:kern w:val="0"/>
          <w:lang w:eastAsia="ru-RU"/>
          <w14:ligatures w14:val="none"/>
        </w:rPr>
        <w:t>, 127 (інші доходи) та/або 157 (дохід, виплачений самозайнятій особі), задекларованої суми доходу від провадження господарської діяльності на 10 та більше відсотків;</w:t>
      </w:r>
    </w:p>
    <w:p w14:paraId="364A48F8"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45" w:name="n1081"/>
      <w:bookmarkEnd w:id="245"/>
      <w:r w:rsidRPr="00A6450B">
        <w:rPr>
          <w:rFonts w:ascii="Times New Roman" w:eastAsia="Times New Roman" w:hAnsi="Times New Roman" w:cs="Times New Roman"/>
          <w:color w:val="333333"/>
          <w:kern w:val="0"/>
          <w:lang w:eastAsia="ru-RU"/>
          <w14:ligatures w14:val="none"/>
        </w:rPr>
        <w:t>наявність інформації в судових рішеннях за </w:t>
      </w:r>
      <w:hyperlink r:id="rId39" w:anchor="n1273" w:tgtFrame="_blank" w:history="1">
        <w:r w:rsidRPr="00A6450B">
          <w:rPr>
            <w:rFonts w:ascii="Times New Roman" w:eastAsia="Times New Roman" w:hAnsi="Times New Roman" w:cs="Times New Roman"/>
            <w:color w:val="000099"/>
            <w:kern w:val="0"/>
            <w:u w:val="single"/>
            <w:lang w:eastAsia="ru-RU"/>
            <w14:ligatures w14:val="none"/>
          </w:rPr>
          <w:t>статтями 191</w:t>
        </w:r>
      </w:hyperlink>
      <w:r w:rsidRPr="00A6450B">
        <w:rPr>
          <w:rFonts w:ascii="Times New Roman" w:eastAsia="Times New Roman" w:hAnsi="Times New Roman" w:cs="Times New Roman"/>
          <w:color w:val="333333"/>
          <w:kern w:val="0"/>
          <w:lang w:eastAsia="ru-RU"/>
          <w14:ligatures w14:val="none"/>
        </w:rPr>
        <w:t>, </w:t>
      </w:r>
      <w:hyperlink r:id="rId40" w:anchor="n1447" w:tgtFrame="_blank" w:history="1">
        <w:r w:rsidRPr="00A6450B">
          <w:rPr>
            <w:rFonts w:ascii="Times New Roman" w:eastAsia="Times New Roman" w:hAnsi="Times New Roman" w:cs="Times New Roman"/>
            <w:color w:val="000099"/>
            <w:kern w:val="0"/>
            <w:u w:val="single"/>
            <w:lang w:eastAsia="ru-RU"/>
            <w14:ligatures w14:val="none"/>
          </w:rPr>
          <w:t>212</w:t>
        </w:r>
      </w:hyperlink>
      <w:r w:rsidRPr="00A6450B">
        <w:rPr>
          <w:rFonts w:ascii="Times New Roman" w:eastAsia="Times New Roman" w:hAnsi="Times New Roman" w:cs="Times New Roman"/>
          <w:color w:val="333333"/>
          <w:kern w:val="0"/>
          <w:lang w:eastAsia="ru-RU"/>
          <w14:ligatures w14:val="none"/>
        </w:rPr>
        <w:t>, </w:t>
      </w:r>
      <w:hyperlink r:id="rId41" w:anchor="n2583" w:tgtFrame="_blank" w:history="1">
        <w:r w:rsidRPr="00A6450B">
          <w:rPr>
            <w:rFonts w:ascii="Times New Roman" w:eastAsia="Times New Roman" w:hAnsi="Times New Roman" w:cs="Times New Roman"/>
            <w:color w:val="000099"/>
            <w:kern w:val="0"/>
            <w:u w:val="single"/>
            <w:lang w:eastAsia="ru-RU"/>
            <w14:ligatures w14:val="none"/>
          </w:rPr>
          <w:t>368</w:t>
        </w:r>
      </w:hyperlink>
      <w:r w:rsidRPr="00A6450B">
        <w:rPr>
          <w:rFonts w:ascii="Times New Roman" w:eastAsia="Times New Roman" w:hAnsi="Times New Roman" w:cs="Times New Roman"/>
          <w:color w:val="333333"/>
          <w:kern w:val="0"/>
          <w:lang w:eastAsia="ru-RU"/>
          <w14:ligatures w14:val="none"/>
        </w:rPr>
        <w:t> Кримінального кодексу України про ризиковий характер діяльності контрагентів платника податків;</w:t>
      </w:r>
    </w:p>
    <w:p w14:paraId="5ADE3599"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46" w:name="n1082"/>
      <w:bookmarkEnd w:id="246"/>
      <w:r w:rsidRPr="00A6450B">
        <w:rPr>
          <w:rFonts w:ascii="Times New Roman" w:eastAsia="Times New Roman" w:hAnsi="Times New Roman" w:cs="Times New Roman"/>
          <w:color w:val="333333"/>
          <w:kern w:val="0"/>
          <w:lang w:eastAsia="ru-RU"/>
          <w14:ligatures w14:val="none"/>
        </w:rPr>
        <w:t>недекларування в податковій звітності доходів, отриманих платником податків за ознакою, визначеною </w:t>
      </w:r>
      <w:hyperlink r:id="rId42" w:anchor="n113" w:tgtFrame="_blank" w:history="1">
        <w:r w:rsidRPr="00A6450B">
          <w:rPr>
            <w:rFonts w:ascii="Times New Roman" w:eastAsia="Times New Roman" w:hAnsi="Times New Roman" w:cs="Times New Roman"/>
            <w:color w:val="000099"/>
            <w:kern w:val="0"/>
            <w:u w:val="single"/>
            <w:lang w:eastAsia="ru-RU"/>
            <w14:ligatures w14:val="none"/>
          </w:rPr>
          <w:t>Довідником ознак доходів</w:t>
        </w:r>
      </w:hyperlink>
      <w:r w:rsidRPr="00A6450B">
        <w:rPr>
          <w:rFonts w:ascii="Times New Roman" w:eastAsia="Times New Roman" w:hAnsi="Times New Roman" w:cs="Times New Roman"/>
          <w:color w:val="333333"/>
          <w:kern w:val="0"/>
          <w:lang w:eastAsia="ru-RU"/>
          <w14:ligatures w14:val="none"/>
        </w:rPr>
        <w:t>, 112 (інвестиційний прибуток (дохід) від операцій з інвестиційними активами);</w:t>
      </w:r>
    </w:p>
    <w:p w14:paraId="19BB10D1"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47" w:name="n1083"/>
      <w:bookmarkEnd w:id="247"/>
      <w:r w:rsidRPr="00A6450B">
        <w:rPr>
          <w:rFonts w:ascii="Times New Roman" w:eastAsia="Times New Roman" w:hAnsi="Times New Roman" w:cs="Times New Roman"/>
          <w:color w:val="333333"/>
          <w:kern w:val="0"/>
          <w:lang w:eastAsia="ru-RU"/>
          <w14:ligatures w14:val="none"/>
        </w:rPr>
        <w:t>перевищення обсягів експортних операцій над задекларованою сумою доходу на 10 та більше відсотків;</w:t>
      </w:r>
    </w:p>
    <w:p w14:paraId="3880DA6C"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48" w:name="n1084"/>
      <w:bookmarkEnd w:id="248"/>
      <w:r w:rsidRPr="00A6450B">
        <w:rPr>
          <w:rFonts w:ascii="Times New Roman" w:eastAsia="Times New Roman" w:hAnsi="Times New Roman" w:cs="Times New Roman"/>
          <w:color w:val="333333"/>
          <w:kern w:val="0"/>
          <w:lang w:eastAsia="ru-RU"/>
          <w14:ligatures w14:val="none"/>
        </w:rPr>
        <w:t>заниження податкового зобов’язання в обсязі, що становить 10 та більше відсотків суми задекларованих податкових зобов’язань з податку на додану вартість за календарний рік, та/або завищення податкового кредиту з податку на додану вартість в обсязі, що становить 5 та більше відсотків суми задекларованого податкового кредиту з податку на додану вартість;</w:t>
      </w:r>
    </w:p>
    <w:p w14:paraId="4248396D"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49" w:name="n1085"/>
      <w:bookmarkEnd w:id="249"/>
      <w:r w:rsidRPr="00A6450B">
        <w:rPr>
          <w:rFonts w:ascii="Times New Roman" w:eastAsia="Times New Roman" w:hAnsi="Times New Roman" w:cs="Times New Roman"/>
          <w:color w:val="333333"/>
          <w:kern w:val="0"/>
          <w:lang w:eastAsia="ru-RU"/>
          <w14:ligatures w14:val="none"/>
        </w:rPr>
        <w:t>декларування сум доходу на рівні або менше від рівня витрат, які враховуються при визначенні об’єкта оподаткування;</w:t>
      </w:r>
    </w:p>
    <w:p w14:paraId="67CFDC6B"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50" w:name="n1086"/>
      <w:bookmarkEnd w:id="250"/>
      <w:r w:rsidRPr="00A6450B">
        <w:rPr>
          <w:rFonts w:ascii="Times New Roman" w:eastAsia="Times New Roman" w:hAnsi="Times New Roman" w:cs="Times New Roman"/>
          <w:color w:val="333333"/>
          <w:kern w:val="0"/>
          <w:lang w:eastAsia="ru-RU"/>
          <w14:ligatures w14:val="none"/>
        </w:rPr>
        <w:t xml:space="preserve">розмір інших витрат, у тому числі вартість виконаних робіт, наданих послуг, або сума розрахованої амортизації основних засобів становить 30 та більше відсотків </w:t>
      </w:r>
      <w:r w:rsidRPr="00A6450B">
        <w:rPr>
          <w:rFonts w:ascii="Times New Roman" w:eastAsia="Times New Roman" w:hAnsi="Times New Roman" w:cs="Times New Roman"/>
          <w:color w:val="333333"/>
          <w:kern w:val="0"/>
          <w:lang w:eastAsia="ru-RU"/>
          <w14:ligatures w14:val="none"/>
        </w:rPr>
        <w:lastRenderedPageBreak/>
        <w:t>задекларованої в податковій звітності вартості документально підтверджених витрат, пов’язаних з господарською діяльністю платника податків;</w:t>
      </w:r>
    </w:p>
    <w:p w14:paraId="2C47DC33" w14:textId="77777777" w:rsidR="00A6450B" w:rsidRPr="00A6450B" w:rsidRDefault="00A6450B" w:rsidP="00A6450B">
      <w:pPr>
        <w:spacing w:after="150" w:line="240" w:lineRule="auto"/>
        <w:jc w:val="center"/>
        <w:rPr>
          <w:rFonts w:ascii="Times New Roman" w:eastAsia="Times New Roman" w:hAnsi="Times New Roman" w:cs="Times New Roman"/>
          <w:i/>
          <w:iCs/>
          <w:color w:val="999999"/>
          <w:kern w:val="0"/>
          <w:lang w:eastAsia="ru-RU"/>
          <w14:ligatures w14:val="none"/>
        </w:rPr>
      </w:pPr>
      <w:bookmarkStart w:id="251" w:name="n1173"/>
      <w:bookmarkEnd w:id="251"/>
      <w:r w:rsidRPr="00A6450B">
        <w:rPr>
          <w:rFonts w:ascii="Times New Roman" w:eastAsia="Times New Roman" w:hAnsi="Times New Roman" w:cs="Times New Roman"/>
          <w:i/>
          <w:iCs/>
          <w:color w:val="999999"/>
          <w:kern w:val="0"/>
          <w:lang w:eastAsia="ru-RU"/>
          <w14:ligatures w14:val="none"/>
        </w:rPr>
        <w:t>{Абзац восьмий підпункту 1 пункту 4 розділу IV в редакції Наказу Міністерства фінансів </w:t>
      </w:r>
      <w:hyperlink r:id="rId43" w:anchor="n43" w:tgtFrame="_blank" w:history="1">
        <w:r w:rsidRPr="00A6450B">
          <w:rPr>
            <w:rFonts w:ascii="Times New Roman" w:eastAsia="Times New Roman" w:hAnsi="Times New Roman" w:cs="Times New Roman"/>
            <w:i/>
            <w:iCs/>
            <w:color w:val="666666"/>
            <w:kern w:val="0"/>
            <w:u w:val="single"/>
            <w:lang w:eastAsia="ru-RU"/>
            <w14:ligatures w14:val="none"/>
          </w:rPr>
          <w:t>№ 655 від 10.12.2021</w:t>
        </w:r>
      </w:hyperlink>
      <w:r w:rsidRPr="00A6450B">
        <w:rPr>
          <w:rFonts w:ascii="Times New Roman" w:eastAsia="Times New Roman" w:hAnsi="Times New Roman" w:cs="Times New Roman"/>
          <w:i/>
          <w:iCs/>
          <w:color w:val="999999"/>
          <w:kern w:val="0"/>
          <w:lang w:eastAsia="ru-RU"/>
          <w14:ligatures w14:val="none"/>
        </w:rPr>
        <w:t>}</w:t>
      </w:r>
    </w:p>
    <w:p w14:paraId="5BD75682"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52" w:name="n1087"/>
      <w:bookmarkEnd w:id="252"/>
      <w:r w:rsidRPr="00A6450B">
        <w:rPr>
          <w:rFonts w:ascii="Times New Roman" w:eastAsia="Times New Roman" w:hAnsi="Times New Roman" w:cs="Times New Roman"/>
          <w:color w:val="333333"/>
          <w:kern w:val="0"/>
          <w:lang w:eastAsia="ru-RU"/>
          <w14:ligatures w14:val="none"/>
        </w:rPr>
        <w:t>наявність розбіжностей між сумою чистого оподатковуваного доходу, відображеною в декларації про майновий стан і доходи, та сумою доходу, зазначеною у звіті про суми нарахованого доходу застрахованих осіб та суми нарахованого єдиного внеску, на 5 та більше відсотків;</w:t>
      </w:r>
    </w:p>
    <w:p w14:paraId="6F1EAC17"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53" w:name="n1088"/>
      <w:bookmarkEnd w:id="253"/>
      <w:r w:rsidRPr="00A6450B">
        <w:rPr>
          <w:rFonts w:ascii="Times New Roman" w:eastAsia="Times New Roman" w:hAnsi="Times New Roman" w:cs="Times New Roman"/>
          <w:color w:val="333333"/>
          <w:kern w:val="0"/>
          <w:lang w:eastAsia="ru-RU"/>
          <w14:ligatures w14:val="none"/>
        </w:rPr>
        <w:t>нарахування та виплата доходів за ознаками, визначеними </w:t>
      </w:r>
      <w:hyperlink r:id="rId44" w:anchor="n113" w:tgtFrame="_blank" w:history="1">
        <w:r w:rsidRPr="00A6450B">
          <w:rPr>
            <w:rFonts w:ascii="Times New Roman" w:eastAsia="Times New Roman" w:hAnsi="Times New Roman" w:cs="Times New Roman"/>
            <w:color w:val="000099"/>
            <w:kern w:val="0"/>
            <w:u w:val="single"/>
            <w:lang w:eastAsia="ru-RU"/>
            <w14:ligatures w14:val="none"/>
          </w:rPr>
          <w:t>Довідником ознак доходів</w:t>
        </w:r>
      </w:hyperlink>
      <w:r w:rsidRPr="00A6450B">
        <w:rPr>
          <w:rFonts w:ascii="Times New Roman" w:eastAsia="Times New Roman" w:hAnsi="Times New Roman" w:cs="Times New Roman"/>
          <w:color w:val="333333"/>
          <w:kern w:val="0"/>
          <w:lang w:eastAsia="ru-RU"/>
          <w14:ligatures w14:val="none"/>
        </w:rPr>
        <w:t>, 101 (заробітна плата, нарахована (виплачена)) та/або 102 (виплати відповідно до умов цивільно-правового договору), без утримання, перерахування до бюджету податку на доходи фізичних осіб та/або єдиного внеску;</w:t>
      </w:r>
    </w:p>
    <w:p w14:paraId="06BCD9A8"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54" w:name="n1089"/>
      <w:bookmarkEnd w:id="254"/>
      <w:r w:rsidRPr="00A6450B">
        <w:rPr>
          <w:rFonts w:ascii="Times New Roman" w:eastAsia="Times New Roman" w:hAnsi="Times New Roman" w:cs="Times New Roman"/>
          <w:color w:val="333333"/>
          <w:kern w:val="0"/>
          <w:lang w:eastAsia="ru-RU"/>
          <w14:ligatures w14:val="none"/>
        </w:rPr>
        <w:t>невідповідність обсягів імпортних операцій задекларованому доходу або обсягам постачання на 20 та більше відсотків;</w:t>
      </w:r>
    </w:p>
    <w:p w14:paraId="15F6B9B5"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55" w:name="n1090"/>
      <w:bookmarkEnd w:id="255"/>
      <w:r w:rsidRPr="00A6450B">
        <w:rPr>
          <w:rFonts w:ascii="Times New Roman" w:eastAsia="Times New Roman" w:hAnsi="Times New Roman" w:cs="Times New Roman"/>
          <w:color w:val="333333"/>
          <w:kern w:val="0"/>
          <w:lang w:eastAsia="ru-RU"/>
          <w14:ligatures w14:val="none"/>
        </w:rPr>
        <w:t>наявність інформації, що свідчить про ухилення від оподаткування виплаченої (нарахованої) найманим особам (у тому числі без документального оформлення) заробітної плати, пасивних доходів, додаткових благ, інших виплат та відшкодувань, що підлягають оподаткуванню, у тому числі внаслідок неукладення платником податків трудових договорів з найманими особами згідно із законом;</w:t>
      </w:r>
    </w:p>
    <w:p w14:paraId="353F06A8"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56" w:name="n1091"/>
      <w:bookmarkEnd w:id="256"/>
      <w:r w:rsidRPr="00A6450B">
        <w:rPr>
          <w:rFonts w:ascii="Times New Roman" w:eastAsia="Times New Roman" w:hAnsi="Times New Roman" w:cs="Times New Roman"/>
          <w:color w:val="333333"/>
          <w:kern w:val="0"/>
          <w:lang w:eastAsia="ru-RU"/>
          <w14:ligatures w14:val="none"/>
        </w:rPr>
        <w:t>загальна сума витрат, відображених у декларації про майновий стан і доходи, становить 75 або більше відсотків суми загального доходу, задекларованого у такій декларації;</w:t>
      </w:r>
    </w:p>
    <w:p w14:paraId="4DEF33D2"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57" w:name="n1092"/>
      <w:bookmarkEnd w:id="257"/>
      <w:r w:rsidRPr="00A6450B">
        <w:rPr>
          <w:rFonts w:ascii="Times New Roman" w:eastAsia="Times New Roman" w:hAnsi="Times New Roman" w:cs="Times New Roman"/>
          <w:color w:val="333333"/>
          <w:kern w:val="0"/>
          <w:lang w:eastAsia="ru-RU"/>
          <w14:ligatures w14:val="none"/>
        </w:rPr>
        <w:t>наявність розбіжностей між обсягами задекларованих у податкових деклараціях з податку на додану вартість податкових зобов’язань або податкового кредиту з податку на додану вартість та обсягами податкових зобов’язань або податкового кредиту з податку на додану вартість за даними Єдиного реєстру податкових накладних на 5 та більше відсотків;</w:t>
      </w:r>
    </w:p>
    <w:p w14:paraId="6CA3E27E"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58" w:name="n1093"/>
      <w:bookmarkEnd w:id="258"/>
      <w:r w:rsidRPr="00A6450B">
        <w:rPr>
          <w:rFonts w:ascii="Times New Roman" w:eastAsia="Times New Roman" w:hAnsi="Times New Roman" w:cs="Times New Roman"/>
          <w:color w:val="333333"/>
          <w:kern w:val="0"/>
          <w:lang w:eastAsia="ru-RU"/>
          <w14:ligatures w14:val="none"/>
        </w:rPr>
        <w:t>невідповідність обсягів імпортних операцій задекларованим у податкових деклараціях з податку на додану вартість обсягам ввезення на митну територію України товарів, необоротних активів на 5 та більше відсотків;</w:t>
      </w:r>
    </w:p>
    <w:p w14:paraId="6634E87E"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59" w:name="n1094"/>
      <w:bookmarkEnd w:id="259"/>
      <w:r w:rsidRPr="00A6450B">
        <w:rPr>
          <w:rFonts w:ascii="Times New Roman" w:eastAsia="Times New Roman" w:hAnsi="Times New Roman" w:cs="Times New Roman"/>
          <w:color w:val="333333"/>
          <w:kern w:val="0"/>
          <w:lang w:eastAsia="ru-RU"/>
          <w14:ligatures w14:val="none"/>
        </w:rPr>
        <w:t>невідповідність обсягів експортних операцій задекларованим у податкових деклараціях з податку на додану вартість обсягам експортних операцій на 5 та більше відсотків;</w:t>
      </w:r>
    </w:p>
    <w:p w14:paraId="16C81932"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60" w:name="n1095"/>
      <w:bookmarkEnd w:id="260"/>
      <w:r w:rsidRPr="00A6450B">
        <w:rPr>
          <w:rFonts w:ascii="Times New Roman" w:eastAsia="Times New Roman" w:hAnsi="Times New Roman" w:cs="Times New Roman"/>
          <w:color w:val="333333"/>
          <w:kern w:val="0"/>
          <w:lang w:eastAsia="ru-RU"/>
          <w14:ligatures w14:val="none"/>
        </w:rPr>
        <w:t>наявність виплат доходів (прибутків) у грошовій або негрошовій формах на користь нерезидентів;</w:t>
      </w:r>
    </w:p>
    <w:p w14:paraId="157B4A77"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61" w:name="n1176"/>
      <w:bookmarkEnd w:id="261"/>
      <w:r w:rsidRPr="00A6450B">
        <w:rPr>
          <w:rFonts w:ascii="Times New Roman" w:eastAsia="Times New Roman" w:hAnsi="Times New Roman" w:cs="Times New Roman"/>
          <w:color w:val="333333"/>
          <w:kern w:val="0"/>
          <w:lang w:eastAsia="ru-RU"/>
          <w14:ligatures w14:val="none"/>
        </w:rPr>
        <w:t>обсяг придбання, без податку на додану вартість, відображений у податкових деклараціях з податку на додану вартість, становить 75 або більше відсотків обсягу постачання, без податку на додану вартість, відображеного у податкових деклараціях з податку на додану вартість;</w:t>
      </w:r>
    </w:p>
    <w:p w14:paraId="35E46CA8" w14:textId="77777777" w:rsidR="00A6450B" w:rsidRPr="00A6450B" w:rsidRDefault="00A6450B" w:rsidP="00A6450B">
      <w:pPr>
        <w:spacing w:after="150" w:line="240" w:lineRule="auto"/>
        <w:jc w:val="center"/>
        <w:rPr>
          <w:rFonts w:ascii="Times New Roman" w:eastAsia="Times New Roman" w:hAnsi="Times New Roman" w:cs="Times New Roman"/>
          <w:i/>
          <w:iCs/>
          <w:color w:val="999999"/>
          <w:kern w:val="0"/>
          <w:lang w:eastAsia="ru-RU"/>
          <w14:ligatures w14:val="none"/>
        </w:rPr>
      </w:pPr>
      <w:bookmarkStart w:id="262" w:name="n1175"/>
      <w:bookmarkEnd w:id="262"/>
      <w:r w:rsidRPr="00A6450B">
        <w:rPr>
          <w:rFonts w:ascii="Times New Roman" w:eastAsia="Times New Roman" w:hAnsi="Times New Roman" w:cs="Times New Roman"/>
          <w:i/>
          <w:iCs/>
          <w:color w:val="999999"/>
          <w:kern w:val="0"/>
          <w:lang w:eastAsia="ru-RU"/>
          <w14:ligatures w14:val="none"/>
        </w:rPr>
        <w:t>{Підпункт 1 пункту 4 розділу IV доповнено новим абзацом згідно з Наказом Міністерства фінансів </w:t>
      </w:r>
      <w:hyperlink r:id="rId45" w:anchor="n43" w:tgtFrame="_blank" w:history="1">
        <w:r w:rsidRPr="00A6450B">
          <w:rPr>
            <w:rFonts w:ascii="Times New Roman" w:eastAsia="Times New Roman" w:hAnsi="Times New Roman" w:cs="Times New Roman"/>
            <w:i/>
            <w:iCs/>
            <w:color w:val="666666"/>
            <w:kern w:val="0"/>
            <w:u w:val="single"/>
            <w:lang w:eastAsia="ru-RU"/>
            <w14:ligatures w14:val="none"/>
          </w:rPr>
          <w:t>№ 655 від 10.12.2021</w:t>
        </w:r>
      </w:hyperlink>
      <w:r w:rsidRPr="00A6450B">
        <w:rPr>
          <w:rFonts w:ascii="Times New Roman" w:eastAsia="Times New Roman" w:hAnsi="Times New Roman" w:cs="Times New Roman"/>
          <w:i/>
          <w:iCs/>
          <w:color w:val="999999"/>
          <w:kern w:val="0"/>
          <w:lang w:eastAsia="ru-RU"/>
          <w14:ligatures w14:val="none"/>
        </w:rPr>
        <w:t>}</w:t>
      </w:r>
    </w:p>
    <w:p w14:paraId="17293011"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63" w:name="n1179"/>
      <w:bookmarkEnd w:id="263"/>
      <w:r w:rsidRPr="00A6450B">
        <w:rPr>
          <w:rFonts w:ascii="Times New Roman" w:eastAsia="Times New Roman" w:hAnsi="Times New Roman" w:cs="Times New Roman"/>
          <w:color w:val="333333"/>
          <w:kern w:val="0"/>
          <w:lang w:eastAsia="ru-RU"/>
          <w14:ligatures w14:val="none"/>
        </w:rPr>
        <w:lastRenderedPageBreak/>
        <w:t>включення до складу витрат у податковій декларації про майновий стан і доходи сум амортизаційних відрахувань за відсутності відомостей щодо наявності власних об’єктів оподаткування;</w:t>
      </w:r>
    </w:p>
    <w:p w14:paraId="2225B726" w14:textId="77777777" w:rsidR="00A6450B" w:rsidRPr="00A6450B" w:rsidRDefault="00A6450B" w:rsidP="00A6450B">
      <w:pPr>
        <w:spacing w:after="150" w:line="240" w:lineRule="auto"/>
        <w:jc w:val="center"/>
        <w:rPr>
          <w:rFonts w:ascii="Times New Roman" w:eastAsia="Times New Roman" w:hAnsi="Times New Roman" w:cs="Times New Roman"/>
          <w:i/>
          <w:iCs/>
          <w:color w:val="999999"/>
          <w:kern w:val="0"/>
          <w:lang w:eastAsia="ru-RU"/>
          <w14:ligatures w14:val="none"/>
        </w:rPr>
      </w:pPr>
      <w:bookmarkStart w:id="264" w:name="n1178"/>
      <w:bookmarkEnd w:id="264"/>
      <w:r w:rsidRPr="00A6450B">
        <w:rPr>
          <w:rFonts w:ascii="Times New Roman" w:eastAsia="Times New Roman" w:hAnsi="Times New Roman" w:cs="Times New Roman"/>
          <w:i/>
          <w:iCs/>
          <w:color w:val="999999"/>
          <w:kern w:val="0"/>
          <w:lang w:eastAsia="ru-RU"/>
          <w14:ligatures w14:val="none"/>
        </w:rPr>
        <w:t>{Підпункт 1 пункту 4 розділу IV доповнено новим абзацом згідно з Наказом Міністерства фінансів </w:t>
      </w:r>
      <w:hyperlink r:id="rId46" w:anchor="n43" w:tgtFrame="_blank" w:history="1">
        <w:r w:rsidRPr="00A6450B">
          <w:rPr>
            <w:rFonts w:ascii="Times New Roman" w:eastAsia="Times New Roman" w:hAnsi="Times New Roman" w:cs="Times New Roman"/>
            <w:i/>
            <w:iCs/>
            <w:color w:val="666666"/>
            <w:kern w:val="0"/>
            <w:u w:val="single"/>
            <w:lang w:eastAsia="ru-RU"/>
            <w14:ligatures w14:val="none"/>
          </w:rPr>
          <w:t>№ 655 від 10.12.2021</w:t>
        </w:r>
      </w:hyperlink>
      <w:r w:rsidRPr="00A6450B">
        <w:rPr>
          <w:rFonts w:ascii="Times New Roman" w:eastAsia="Times New Roman" w:hAnsi="Times New Roman" w:cs="Times New Roman"/>
          <w:i/>
          <w:iCs/>
          <w:color w:val="999999"/>
          <w:kern w:val="0"/>
          <w:lang w:eastAsia="ru-RU"/>
          <w14:ligatures w14:val="none"/>
        </w:rPr>
        <w:t>}</w:t>
      </w:r>
    </w:p>
    <w:p w14:paraId="1BEFDE69"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65" w:name="n1096"/>
      <w:bookmarkEnd w:id="265"/>
      <w:r w:rsidRPr="00A6450B">
        <w:rPr>
          <w:rFonts w:ascii="Times New Roman" w:eastAsia="Times New Roman" w:hAnsi="Times New Roman" w:cs="Times New Roman"/>
          <w:color w:val="333333"/>
          <w:kern w:val="0"/>
          <w:lang w:eastAsia="ru-RU"/>
          <w14:ligatures w14:val="none"/>
        </w:rPr>
        <w:t>2) середнього ступеня ризику:</w:t>
      </w:r>
    </w:p>
    <w:p w14:paraId="5C341F0F"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66" w:name="n1097"/>
      <w:bookmarkEnd w:id="266"/>
      <w:r w:rsidRPr="00A6450B">
        <w:rPr>
          <w:rFonts w:ascii="Times New Roman" w:eastAsia="Times New Roman" w:hAnsi="Times New Roman" w:cs="Times New Roman"/>
          <w:color w:val="333333"/>
          <w:kern w:val="0"/>
          <w:lang w:eastAsia="ru-RU"/>
          <w14:ligatures w14:val="none"/>
        </w:rPr>
        <w:t>кількість найманих працівників менша за кількість зареєстрованих реєстраторів розрахункових операцій (окремо на господарську одиницю) або інших об’єктів оподаткування;</w:t>
      </w:r>
    </w:p>
    <w:p w14:paraId="56987623" w14:textId="77777777" w:rsidR="00A6450B" w:rsidRPr="00A6450B" w:rsidRDefault="00A6450B" w:rsidP="00A6450B">
      <w:pPr>
        <w:spacing w:after="150" w:line="240" w:lineRule="auto"/>
        <w:jc w:val="center"/>
        <w:rPr>
          <w:rFonts w:ascii="Times New Roman" w:eastAsia="Times New Roman" w:hAnsi="Times New Roman" w:cs="Times New Roman"/>
          <w:i/>
          <w:iCs/>
          <w:color w:val="999999"/>
          <w:kern w:val="0"/>
          <w:lang w:eastAsia="ru-RU"/>
          <w14:ligatures w14:val="none"/>
        </w:rPr>
      </w:pPr>
      <w:bookmarkStart w:id="267" w:name="n1181"/>
      <w:bookmarkEnd w:id="267"/>
      <w:r w:rsidRPr="00A6450B">
        <w:rPr>
          <w:rFonts w:ascii="Times New Roman" w:eastAsia="Times New Roman" w:hAnsi="Times New Roman" w:cs="Times New Roman"/>
          <w:i/>
          <w:iCs/>
          <w:color w:val="999999"/>
          <w:kern w:val="0"/>
          <w:lang w:eastAsia="ru-RU"/>
          <w14:ligatures w14:val="none"/>
        </w:rPr>
        <w:t>{Абзац другий підпункту 2 пункту 4 розділу IV із змінами, внесеними згідно з Наказом Міністерства фінансів </w:t>
      </w:r>
      <w:hyperlink r:id="rId47" w:anchor="n50" w:tgtFrame="_blank" w:history="1">
        <w:r w:rsidRPr="00A6450B">
          <w:rPr>
            <w:rFonts w:ascii="Times New Roman" w:eastAsia="Times New Roman" w:hAnsi="Times New Roman" w:cs="Times New Roman"/>
            <w:i/>
            <w:iCs/>
            <w:color w:val="666666"/>
            <w:kern w:val="0"/>
            <w:u w:val="single"/>
            <w:lang w:eastAsia="ru-RU"/>
            <w14:ligatures w14:val="none"/>
          </w:rPr>
          <w:t>№ 655 від 10.12.2021</w:t>
        </w:r>
      </w:hyperlink>
      <w:r w:rsidRPr="00A6450B">
        <w:rPr>
          <w:rFonts w:ascii="Times New Roman" w:eastAsia="Times New Roman" w:hAnsi="Times New Roman" w:cs="Times New Roman"/>
          <w:i/>
          <w:iCs/>
          <w:color w:val="999999"/>
          <w:kern w:val="0"/>
          <w:lang w:eastAsia="ru-RU"/>
          <w14:ligatures w14:val="none"/>
        </w:rPr>
        <w:t>}</w:t>
      </w:r>
    </w:p>
    <w:p w14:paraId="31F907F0"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68" w:name="n1098"/>
      <w:bookmarkEnd w:id="268"/>
      <w:r w:rsidRPr="00A6450B">
        <w:rPr>
          <w:rFonts w:ascii="Times New Roman" w:eastAsia="Times New Roman" w:hAnsi="Times New Roman" w:cs="Times New Roman"/>
          <w:color w:val="333333"/>
          <w:kern w:val="0"/>
          <w:lang w:eastAsia="ru-RU"/>
          <w14:ligatures w14:val="none"/>
        </w:rPr>
        <w:t>декларування від’ємного значення з податку на додану вартість при здійсненні імпортних, експортних операцій або міжнародних перевезень;</w:t>
      </w:r>
    </w:p>
    <w:p w14:paraId="39B25941"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69" w:name="n1099"/>
      <w:bookmarkEnd w:id="269"/>
      <w:r w:rsidRPr="00A6450B">
        <w:rPr>
          <w:rFonts w:ascii="Times New Roman" w:eastAsia="Times New Roman" w:hAnsi="Times New Roman" w:cs="Times New Roman"/>
          <w:color w:val="333333"/>
          <w:kern w:val="0"/>
          <w:lang w:eastAsia="ru-RU"/>
          <w14:ligatures w14:val="none"/>
        </w:rPr>
        <w:t>декларування податкових зобов’язань з податку на додану вартість на рівні податкового кредиту;</w:t>
      </w:r>
    </w:p>
    <w:p w14:paraId="0A16EF01"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70" w:name="n1100"/>
      <w:bookmarkEnd w:id="270"/>
      <w:r w:rsidRPr="00A6450B">
        <w:rPr>
          <w:rFonts w:ascii="Times New Roman" w:eastAsia="Times New Roman" w:hAnsi="Times New Roman" w:cs="Times New Roman"/>
          <w:color w:val="333333"/>
          <w:kern w:val="0"/>
          <w:lang w:eastAsia="ru-RU"/>
          <w14:ligatures w14:val="none"/>
        </w:rPr>
        <w:t>наявність розбіжностей між задекларованою сумою загального оподатковуваного доходу або податкових зобов’язань з податку на додану вартість та сумою розрахункових операцій, проведених із застосуванням реєстраторів розрахункових операцій (книги обліку розрахункових операцій), в обсязі, що перевищує 10 відсотків;</w:t>
      </w:r>
    </w:p>
    <w:p w14:paraId="2CDBAB6B"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71" w:name="n1101"/>
      <w:bookmarkEnd w:id="271"/>
      <w:r w:rsidRPr="00A6450B">
        <w:rPr>
          <w:rFonts w:ascii="Times New Roman" w:eastAsia="Times New Roman" w:hAnsi="Times New Roman" w:cs="Times New Roman"/>
          <w:color w:val="333333"/>
          <w:kern w:val="0"/>
          <w:lang w:eastAsia="ru-RU"/>
          <w14:ligatures w14:val="none"/>
        </w:rPr>
        <w:t>загальна сума від здійснення операцій з постачання товарів/послуг, що підлягають оподаткуванню згідно з </w:t>
      </w:r>
      <w:hyperlink r:id="rId48" w:anchor="n4379" w:tgtFrame="_blank" w:history="1">
        <w:r w:rsidRPr="00A6450B">
          <w:rPr>
            <w:rFonts w:ascii="Times New Roman" w:eastAsia="Times New Roman" w:hAnsi="Times New Roman" w:cs="Times New Roman"/>
            <w:color w:val="000099"/>
            <w:kern w:val="0"/>
            <w:u w:val="single"/>
            <w:lang w:eastAsia="ru-RU"/>
            <w14:ligatures w14:val="none"/>
          </w:rPr>
          <w:t>розділом V</w:t>
        </w:r>
      </w:hyperlink>
      <w:r w:rsidRPr="00A6450B">
        <w:rPr>
          <w:rFonts w:ascii="Times New Roman" w:eastAsia="Times New Roman" w:hAnsi="Times New Roman" w:cs="Times New Roman"/>
          <w:color w:val="333333"/>
          <w:kern w:val="0"/>
          <w:lang w:eastAsia="ru-RU"/>
          <w14:ligatures w14:val="none"/>
        </w:rPr>
        <w:t> Кодексу, у тому числі з використанням локальної або глобальної комп’ютерної мережі, нарахована (сплачена) особі, яка не зареєстрована платником податку на додану вартість, протягом останніх 12 календарних місяців, перевищує обсяг, визначений </w:t>
      </w:r>
      <w:hyperlink r:id="rId49" w:anchor="n4401" w:tgtFrame="_blank" w:history="1">
        <w:r w:rsidRPr="00A6450B">
          <w:rPr>
            <w:rFonts w:ascii="Times New Roman" w:eastAsia="Times New Roman" w:hAnsi="Times New Roman" w:cs="Times New Roman"/>
            <w:color w:val="000099"/>
            <w:kern w:val="0"/>
            <w:u w:val="single"/>
            <w:lang w:eastAsia="ru-RU"/>
            <w14:ligatures w14:val="none"/>
          </w:rPr>
          <w:t>статтею 181</w:t>
        </w:r>
      </w:hyperlink>
      <w:r w:rsidRPr="00A6450B">
        <w:rPr>
          <w:rFonts w:ascii="Times New Roman" w:eastAsia="Times New Roman" w:hAnsi="Times New Roman" w:cs="Times New Roman"/>
          <w:color w:val="333333"/>
          <w:kern w:val="0"/>
          <w:lang w:eastAsia="ru-RU"/>
          <w14:ligatures w14:val="none"/>
        </w:rPr>
        <w:t> розділу V Кодексу, більш як на 2 відсотки;</w:t>
      </w:r>
    </w:p>
    <w:p w14:paraId="024BE83D"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72" w:name="n1102"/>
      <w:bookmarkEnd w:id="272"/>
      <w:r w:rsidRPr="00A6450B">
        <w:rPr>
          <w:rFonts w:ascii="Times New Roman" w:eastAsia="Times New Roman" w:hAnsi="Times New Roman" w:cs="Times New Roman"/>
          <w:color w:val="333333"/>
          <w:kern w:val="0"/>
          <w:lang w:eastAsia="ru-RU"/>
          <w14:ligatures w14:val="none"/>
        </w:rPr>
        <w:t>наявність відносин із контрагентами, які знаходяться в розшуку, або ліквідовані, або визнані банкрутами, якщо сума операцій перевищує 10 відсотків загальних обсягів постачання;</w:t>
      </w:r>
    </w:p>
    <w:p w14:paraId="351920C3"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73" w:name="n1103"/>
      <w:bookmarkEnd w:id="273"/>
      <w:r w:rsidRPr="00A6450B">
        <w:rPr>
          <w:rFonts w:ascii="Times New Roman" w:eastAsia="Times New Roman" w:hAnsi="Times New Roman" w:cs="Times New Roman"/>
          <w:color w:val="333333"/>
          <w:kern w:val="0"/>
          <w:lang w:eastAsia="ru-RU"/>
          <w14:ligatures w14:val="none"/>
        </w:rPr>
        <w:t>здійснення діяльності у галузі лісового господарства та пов’язаних з ним послуг, одночасне здійснення експорту деревини та виробів з неї у розмірі, що перевищує 1 млн грн за календарний рік;</w:t>
      </w:r>
    </w:p>
    <w:p w14:paraId="200A9FF4"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74" w:name="n1104"/>
      <w:bookmarkEnd w:id="274"/>
      <w:r w:rsidRPr="00A6450B">
        <w:rPr>
          <w:rFonts w:ascii="Times New Roman" w:eastAsia="Times New Roman" w:hAnsi="Times New Roman" w:cs="Times New Roman"/>
          <w:color w:val="333333"/>
          <w:kern w:val="0"/>
          <w:lang w:eastAsia="ru-RU"/>
          <w14:ligatures w14:val="none"/>
        </w:rPr>
        <w:t>порушення встановлених строків сплати єдиного внеску більше ніж на 365 днів;</w:t>
      </w:r>
    </w:p>
    <w:p w14:paraId="52A70637"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75" w:name="n1184"/>
      <w:bookmarkEnd w:id="275"/>
      <w:r w:rsidRPr="00A6450B">
        <w:rPr>
          <w:rFonts w:ascii="Times New Roman" w:eastAsia="Times New Roman" w:hAnsi="Times New Roman" w:cs="Times New Roman"/>
          <w:color w:val="333333"/>
          <w:kern w:val="0"/>
          <w:lang w:eastAsia="ru-RU"/>
          <w14:ligatures w14:val="none"/>
        </w:rPr>
        <w:t>декларування доходу понад 220 розмірів мінімальної заробітної плати, встановленої законом на 01 січня податкового (звітного) року, за відсутності зареєстрованого реєстратора розрахункових операцій та/або програмного реєстратора розрахункових операцій та відомостей щодо відкритих банківських рахунків;</w:t>
      </w:r>
    </w:p>
    <w:p w14:paraId="6CA65D1F" w14:textId="77777777" w:rsidR="00A6450B" w:rsidRPr="00A6450B" w:rsidRDefault="00A6450B" w:rsidP="00A6450B">
      <w:pPr>
        <w:spacing w:after="150" w:line="240" w:lineRule="auto"/>
        <w:jc w:val="center"/>
        <w:rPr>
          <w:rFonts w:ascii="Times New Roman" w:eastAsia="Times New Roman" w:hAnsi="Times New Roman" w:cs="Times New Roman"/>
          <w:i/>
          <w:iCs/>
          <w:color w:val="999999"/>
          <w:kern w:val="0"/>
          <w:lang w:eastAsia="ru-RU"/>
          <w14:ligatures w14:val="none"/>
        </w:rPr>
      </w:pPr>
      <w:bookmarkStart w:id="276" w:name="n1183"/>
      <w:bookmarkEnd w:id="276"/>
      <w:r w:rsidRPr="00A6450B">
        <w:rPr>
          <w:rFonts w:ascii="Times New Roman" w:eastAsia="Times New Roman" w:hAnsi="Times New Roman" w:cs="Times New Roman"/>
          <w:i/>
          <w:iCs/>
          <w:color w:val="999999"/>
          <w:kern w:val="0"/>
          <w:lang w:eastAsia="ru-RU"/>
          <w14:ligatures w14:val="none"/>
        </w:rPr>
        <w:t>{Підпункт 2 пункту 4 розділу IV доповнено новим абзацом згідно з Наказом Міністерства фінансів </w:t>
      </w:r>
      <w:hyperlink r:id="rId50" w:anchor="n50" w:tgtFrame="_blank" w:history="1">
        <w:r w:rsidRPr="00A6450B">
          <w:rPr>
            <w:rFonts w:ascii="Times New Roman" w:eastAsia="Times New Roman" w:hAnsi="Times New Roman" w:cs="Times New Roman"/>
            <w:i/>
            <w:iCs/>
            <w:color w:val="666666"/>
            <w:kern w:val="0"/>
            <w:u w:val="single"/>
            <w:lang w:eastAsia="ru-RU"/>
            <w14:ligatures w14:val="none"/>
          </w:rPr>
          <w:t>№ 655 від 10.12.2021</w:t>
        </w:r>
      </w:hyperlink>
      <w:r w:rsidRPr="00A6450B">
        <w:rPr>
          <w:rFonts w:ascii="Times New Roman" w:eastAsia="Times New Roman" w:hAnsi="Times New Roman" w:cs="Times New Roman"/>
          <w:i/>
          <w:iCs/>
          <w:color w:val="999999"/>
          <w:kern w:val="0"/>
          <w:lang w:eastAsia="ru-RU"/>
          <w14:ligatures w14:val="none"/>
        </w:rPr>
        <w:t>}</w:t>
      </w:r>
    </w:p>
    <w:p w14:paraId="454F52BE"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77" w:name="n1105"/>
      <w:bookmarkEnd w:id="277"/>
      <w:r w:rsidRPr="00A6450B">
        <w:rPr>
          <w:rFonts w:ascii="Times New Roman" w:eastAsia="Times New Roman" w:hAnsi="Times New Roman" w:cs="Times New Roman"/>
          <w:color w:val="333333"/>
          <w:kern w:val="0"/>
          <w:lang w:eastAsia="ru-RU"/>
          <w14:ligatures w14:val="none"/>
        </w:rPr>
        <w:t>3) незначного ступеня ризику:</w:t>
      </w:r>
    </w:p>
    <w:p w14:paraId="0F260CD5"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78" w:name="n1106"/>
      <w:bookmarkEnd w:id="278"/>
      <w:r w:rsidRPr="00A6450B">
        <w:rPr>
          <w:rFonts w:ascii="Times New Roman" w:eastAsia="Times New Roman" w:hAnsi="Times New Roman" w:cs="Times New Roman"/>
          <w:color w:val="333333"/>
          <w:kern w:val="0"/>
          <w:lang w:eastAsia="ru-RU"/>
          <w14:ligatures w14:val="none"/>
        </w:rPr>
        <w:t xml:space="preserve">заниження податкового зобов’язання в обсязі, що становить менше ніж 10 відсотків суми задекларованих податкових зобов’язань з податку на додану вартість за календарний рік, та/або завищення податкового кредиту з податку на додану вартість в </w:t>
      </w:r>
      <w:r w:rsidRPr="00A6450B">
        <w:rPr>
          <w:rFonts w:ascii="Times New Roman" w:eastAsia="Times New Roman" w:hAnsi="Times New Roman" w:cs="Times New Roman"/>
          <w:color w:val="333333"/>
          <w:kern w:val="0"/>
          <w:lang w:eastAsia="ru-RU"/>
          <w14:ligatures w14:val="none"/>
        </w:rPr>
        <w:lastRenderedPageBreak/>
        <w:t>обсязі, що становить менше ніж 5 відсотків суми задекларованого податкового кредиту з податку на додану вартість;</w:t>
      </w:r>
    </w:p>
    <w:p w14:paraId="41C6F7A2"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79" w:name="n1107"/>
      <w:bookmarkEnd w:id="279"/>
      <w:r w:rsidRPr="00A6450B">
        <w:rPr>
          <w:rFonts w:ascii="Times New Roman" w:eastAsia="Times New Roman" w:hAnsi="Times New Roman" w:cs="Times New Roman"/>
          <w:color w:val="333333"/>
          <w:kern w:val="0"/>
          <w:lang w:eastAsia="ru-RU"/>
          <w14:ligatures w14:val="none"/>
        </w:rPr>
        <w:t>порушення встановлених строків сплати єдиного внеску менше ніж на 365 днів;</w:t>
      </w:r>
    </w:p>
    <w:p w14:paraId="0916DACC"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80" w:name="n1108"/>
      <w:bookmarkEnd w:id="280"/>
      <w:r w:rsidRPr="00A6450B">
        <w:rPr>
          <w:rFonts w:ascii="Times New Roman" w:eastAsia="Times New Roman" w:hAnsi="Times New Roman" w:cs="Times New Roman"/>
          <w:color w:val="333333"/>
          <w:kern w:val="0"/>
          <w:lang w:eastAsia="ru-RU"/>
          <w14:ligatures w14:val="none"/>
        </w:rPr>
        <w:t>декларування сум податку на додану вартість до відшкодування з бюджету.</w:t>
      </w:r>
    </w:p>
    <w:p w14:paraId="4CD46886" w14:textId="77777777" w:rsidR="00A6450B" w:rsidRPr="00A6450B" w:rsidRDefault="00A6450B" w:rsidP="00A6450B">
      <w:pPr>
        <w:spacing w:before="150" w:after="150" w:line="240" w:lineRule="auto"/>
        <w:ind w:left="450" w:right="450"/>
        <w:jc w:val="center"/>
        <w:rPr>
          <w:rFonts w:ascii="Times New Roman" w:eastAsia="Times New Roman" w:hAnsi="Times New Roman" w:cs="Times New Roman"/>
          <w:color w:val="333333"/>
          <w:kern w:val="0"/>
          <w:lang w:eastAsia="ru-RU"/>
          <w14:ligatures w14:val="none"/>
        </w:rPr>
      </w:pPr>
      <w:bookmarkStart w:id="281" w:name="n1109"/>
      <w:bookmarkEnd w:id="281"/>
      <w:r w:rsidRPr="00A6450B">
        <w:rPr>
          <w:rFonts w:ascii="Times New Roman" w:eastAsia="Times New Roman" w:hAnsi="Times New Roman" w:cs="Times New Roman"/>
          <w:b/>
          <w:bCs/>
          <w:color w:val="333333"/>
          <w:kern w:val="0"/>
          <w:sz w:val="28"/>
          <w:szCs w:val="28"/>
          <w:lang w:eastAsia="ru-RU"/>
          <w14:ligatures w14:val="none"/>
        </w:rPr>
        <w:t>V. Порядок відбору до плану-графіка платників податків - юридичних осіб щодо правильності обчислення, повноти і своєчасності сплати податку на доходи фізичних осіб, військового збору та єдиного внеску на загальнообов’язкове державне соціальне страхування</w:t>
      </w:r>
    </w:p>
    <w:p w14:paraId="0BBAC129"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82" w:name="n1110"/>
      <w:bookmarkEnd w:id="282"/>
      <w:r w:rsidRPr="00A6450B">
        <w:rPr>
          <w:rFonts w:ascii="Times New Roman" w:eastAsia="Times New Roman" w:hAnsi="Times New Roman" w:cs="Times New Roman"/>
          <w:color w:val="333333"/>
          <w:kern w:val="0"/>
          <w:lang w:eastAsia="ru-RU"/>
          <w14:ligatures w14:val="none"/>
        </w:rPr>
        <w:t>1. До розділу IV плану-графіка відбираються платники податків - юридичні особи, які мають ризик несплати податку на доходи фізичних осіб, військового збору та єдиного внеску, за результатами аналізу наявних ризиків.</w:t>
      </w:r>
    </w:p>
    <w:p w14:paraId="16910BA0"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83" w:name="n1111"/>
      <w:bookmarkEnd w:id="283"/>
      <w:r w:rsidRPr="00A6450B">
        <w:rPr>
          <w:rFonts w:ascii="Times New Roman" w:eastAsia="Times New Roman" w:hAnsi="Times New Roman" w:cs="Times New Roman"/>
          <w:color w:val="333333"/>
          <w:kern w:val="0"/>
          <w:lang w:eastAsia="ru-RU"/>
          <w14:ligatures w14:val="none"/>
        </w:rPr>
        <w:t>2. При відборі до плану-графіка враховуються дані інформаційно-телекомунікаційних систем контролюючих органів.</w:t>
      </w:r>
    </w:p>
    <w:p w14:paraId="5577C8C6"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84" w:name="n1112"/>
      <w:bookmarkEnd w:id="284"/>
      <w:r w:rsidRPr="00A6450B">
        <w:rPr>
          <w:rFonts w:ascii="Times New Roman" w:eastAsia="Times New Roman" w:hAnsi="Times New Roman" w:cs="Times New Roman"/>
          <w:color w:val="333333"/>
          <w:kern w:val="0"/>
          <w:lang w:eastAsia="ru-RU"/>
          <w14:ligatures w14:val="none"/>
        </w:rPr>
        <w:t>3. У разі одночасного відбору платника податків до розділу IV та розділу I плану графіка такий платник включається до розділу І плану-графіка проведення документальних планових перевірок.</w:t>
      </w:r>
    </w:p>
    <w:p w14:paraId="6F5E30FD"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85" w:name="n1113"/>
      <w:bookmarkEnd w:id="285"/>
      <w:r w:rsidRPr="00A6450B">
        <w:rPr>
          <w:rFonts w:ascii="Times New Roman" w:eastAsia="Times New Roman" w:hAnsi="Times New Roman" w:cs="Times New Roman"/>
          <w:color w:val="333333"/>
          <w:kern w:val="0"/>
          <w:lang w:eastAsia="ru-RU"/>
          <w14:ligatures w14:val="none"/>
        </w:rPr>
        <w:t>4. Критерії відбору платників податків - юридичних осіб з питань правильності обчислення, повноти і своєчасності сплати податку на доходи фізичних осіб, військового збору та єдиного внеску:</w:t>
      </w:r>
    </w:p>
    <w:p w14:paraId="0B8A4AAE"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86" w:name="n1114"/>
      <w:bookmarkEnd w:id="286"/>
      <w:r w:rsidRPr="00A6450B">
        <w:rPr>
          <w:rFonts w:ascii="Times New Roman" w:eastAsia="Times New Roman" w:hAnsi="Times New Roman" w:cs="Times New Roman"/>
          <w:color w:val="333333"/>
          <w:kern w:val="0"/>
          <w:lang w:eastAsia="ru-RU"/>
          <w14:ligatures w14:val="none"/>
        </w:rPr>
        <w:t>1) високого ступеня ризику:</w:t>
      </w:r>
    </w:p>
    <w:p w14:paraId="535FB6EC"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87" w:name="n1115"/>
      <w:bookmarkEnd w:id="287"/>
      <w:r w:rsidRPr="00A6450B">
        <w:rPr>
          <w:rFonts w:ascii="Times New Roman" w:eastAsia="Times New Roman" w:hAnsi="Times New Roman" w:cs="Times New Roman"/>
          <w:color w:val="333333"/>
          <w:kern w:val="0"/>
          <w:lang w:eastAsia="ru-RU"/>
          <w14:ligatures w14:val="none"/>
        </w:rPr>
        <w:t>несплата податку на доходи фізичних осіб, військового збору та/або єдиного внеску або його сплата у розмірі менше ніж 1 відсоток доходу за попередній звітний період платником податку - юридичною особою, дохід якої становить понад 1 млн грн;</w:t>
      </w:r>
    </w:p>
    <w:p w14:paraId="19F9610A"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88" w:name="n1116"/>
      <w:bookmarkEnd w:id="288"/>
      <w:r w:rsidRPr="00A6450B">
        <w:rPr>
          <w:rFonts w:ascii="Times New Roman" w:eastAsia="Times New Roman" w:hAnsi="Times New Roman" w:cs="Times New Roman"/>
          <w:color w:val="333333"/>
          <w:kern w:val="0"/>
          <w:lang w:eastAsia="ru-RU"/>
          <w14:ligatures w14:val="none"/>
        </w:rPr>
        <w:t>нарахування заробітної плати у сумі менше від законодавчо встановленого розміру мінімальної заробітної плати за наявності доходу за попередній звітний період у сумі 1 млн грн та більше;</w:t>
      </w:r>
    </w:p>
    <w:p w14:paraId="0F0C864A"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89" w:name="n1117"/>
      <w:bookmarkEnd w:id="289"/>
      <w:r w:rsidRPr="00A6450B">
        <w:rPr>
          <w:rFonts w:ascii="Times New Roman" w:eastAsia="Times New Roman" w:hAnsi="Times New Roman" w:cs="Times New Roman"/>
          <w:color w:val="333333"/>
          <w:kern w:val="0"/>
          <w:lang w:eastAsia="ru-RU"/>
          <w14:ligatures w14:val="none"/>
        </w:rPr>
        <w:t>нарахування та виплата доходів за ознаками, визначеними Довідником ознак доходів, 101 (заробітна плата, нарахована (виплачена)) та/або 102 (виплати відповідно до умов цивільно-правового договору), у сумі понад 40 мінімальних зарплат без утримання, перерахування до бюджету податку на доходи фізичних осіб, військового збору та/або єдиного внеску;</w:t>
      </w:r>
    </w:p>
    <w:p w14:paraId="6E888D90"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90" w:name="n1118"/>
      <w:bookmarkEnd w:id="290"/>
      <w:r w:rsidRPr="00A6450B">
        <w:rPr>
          <w:rFonts w:ascii="Times New Roman" w:eastAsia="Times New Roman" w:hAnsi="Times New Roman" w:cs="Times New Roman"/>
          <w:color w:val="333333"/>
          <w:kern w:val="0"/>
          <w:lang w:eastAsia="ru-RU"/>
          <w14:ligatures w14:val="none"/>
        </w:rPr>
        <w:t>відсоток утриманої суми податку на доходи фізичних осіб та військового збору нижче за 10 відсотків суми виплаченого доходу у вигляді заробітної плати;</w:t>
      </w:r>
    </w:p>
    <w:p w14:paraId="07ABAE80"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91" w:name="n1119"/>
      <w:bookmarkEnd w:id="291"/>
      <w:r w:rsidRPr="00A6450B">
        <w:rPr>
          <w:rFonts w:ascii="Times New Roman" w:eastAsia="Times New Roman" w:hAnsi="Times New Roman" w:cs="Times New Roman"/>
          <w:color w:val="333333"/>
          <w:kern w:val="0"/>
          <w:lang w:eastAsia="ru-RU"/>
          <w14:ligatures w14:val="none"/>
        </w:rPr>
        <w:t>наявність кредиторської заборгованості з податку на доходи фізичних осіб та військового збору у сумі понад 10 відсотків суми сплаченого податку на доходи фізичних осіб та військового збору у попередньому звітному періоді, але не менше ніж 100 тис.грн;</w:t>
      </w:r>
    </w:p>
    <w:p w14:paraId="6052083D"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92" w:name="n1120"/>
      <w:bookmarkEnd w:id="292"/>
      <w:r w:rsidRPr="00A6450B">
        <w:rPr>
          <w:rFonts w:ascii="Times New Roman" w:eastAsia="Times New Roman" w:hAnsi="Times New Roman" w:cs="Times New Roman"/>
          <w:color w:val="333333"/>
          <w:kern w:val="0"/>
          <w:lang w:eastAsia="ru-RU"/>
          <w14:ligatures w14:val="none"/>
        </w:rPr>
        <w:t>збільшення (зменшення) у звітності суми нарахованого єдиного внеску за попередні періоди більше ніж на 20 відсотків загальної суми нарахованого єдиного внеску за останні 12 місяців, що передують звітному періоду;</w:t>
      </w:r>
    </w:p>
    <w:p w14:paraId="4612FEA7"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93" w:name="n1121"/>
      <w:bookmarkEnd w:id="293"/>
      <w:r w:rsidRPr="00A6450B">
        <w:rPr>
          <w:rFonts w:ascii="Times New Roman" w:eastAsia="Times New Roman" w:hAnsi="Times New Roman" w:cs="Times New Roman"/>
          <w:color w:val="333333"/>
          <w:kern w:val="0"/>
          <w:lang w:eastAsia="ru-RU"/>
          <w14:ligatures w14:val="none"/>
        </w:rPr>
        <w:lastRenderedPageBreak/>
        <w:t>порушення більше ніж на 30 календарних днів встановлених строків подання звітності з єдиного внеску за шість або більше звітних періодів протягом календарного року;</w:t>
      </w:r>
    </w:p>
    <w:p w14:paraId="61C0151F"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94" w:name="n1122"/>
      <w:bookmarkEnd w:id="294"/>
      <w:r w:rsidRPr="00A6450B">
        <w:rPr>
          <w:rFonts w:ascii="Times New Roman" w:eastAsia="Times New Roman" w:hAnsi="Times New Roman" w:cs="Times New Roman"/>
          <w:color w:val="333333"/>
          <w:kern w:val="0"/>
          <w:lang w:eastAsia="ru-RU"/>
          <w14:ligatures w14:val="none"/>
        </w:rPr>
        <w:t>порушення встановлених строків сплати єдиного внеску більше ніж на 365 днів;</w:t>
      </w:r>
    </w:p>
    <w:p w14:paraId="20F738E7"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95" w:name="n1123"/>
      <w:bookmarkEnd w:id="295"/>
      <w:r w:rsidRPr="00A6450B">
        <w:rPr>
          <w:rFonts w:ascii="Times New Roman" w:eastAsia="Times New Roman" w:hAnsi="Times New Roman" w:cs="Times New Roman"/>
          <w:color w:val="333333"/>
          <w:kern w:val="0"/>
          <w:lang w:eastAsia="ru-RU"/>
          <w14:ligatures w14:val="none"/>
        </w:rPr>
        <w:t>наявність інформації правоохоронних органів, структурних підрозділів органів ДПС та іншої податкової інформації, одержаної у встановленому </w:t>
      </w:r>
      <w:hyperlink r:id="rId51" w:tgtFrame="_blank" w:history="1">
        <w:r w:rsidRPr="00A6450B">
          <w:rPr>
            <w:rFonts w:ascii="Times New Roman" w:eastAsia="Times New Roman" w:hAnsi="Times New Roman" w:cs="Times New Roman"/>
            <w:color w:val="000099"/>
            <w:kern w:val="0"/>
            <w:u w:val="single"/>
            <w:lang w:eastAsia="ru-RU"/>
            <w14:ligatures w14:val="none"/>
          </w:rPr>
          <w:t>Кодексом</w:t>
        </w:r>
      </w:hyperlink>
      <w:r w:rsidRPr="00A6450B">
        <w:rPr>
          <w:rFonts w:ascii="Times New Roman" w:eastAsia="Times New Roman" w:hAnsi="Times New Roman" w:cs="Times New Roman"/>
          <w:color w:val="333333"/>
          <w:kern w:val="0"/>
          <w:lang w:eastAsia="ru-RU"/>
          <w14:ligatures w14:val="none"/>
        </w:rPr>
        <w:t> порядку, що свідчить про ухилення від сплати належних сум податку на доходи фізичних осіб, військового збору та єдиного внеску;</w:t>
      </w:r>
    </w:p>
    <w:p w14:paraId="474ECC4F"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96" w:name="n1124"/>
      <w:bookmarkEnd w:id="296"/>
      <w:r w:rsidRPr="00A6450B">
        <w:rPr>
          <w:rFonts w:ascii="Times New Roman" w:eastAsia="Times New Roman" w:hAnsi="Times New Roman" w:cs="Times New Roman"/>
          <w:color w:val="333333"/>
          <w:kern w:val="0"/>
          <w:lang w:eastAsia="ru-RU"/>
          <w14:ligatures w14:val="none"/>
        </w:rPr>
        <w:t>2) середнього ступеня ризику:</w:t>
      </w:r>
    </w:p>
    <w:p w14:paraId="3500DD19"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97" w:name="n1125"/>
      <w:bookmarkEnd w:id="297"/>
      <w:r w:rsidRPr="00A6450B">
        <w:rPr>
          <w:rFonts w:ascii="Times New Roman" w:eastAsia="Times New Roman" w:hAnsi="Times New Roman" w:cs="Times New Roman"/>
          <w:color w:val="333333"/>
          <w:kern w:val="0"/>
          <w:lang w:eastAsia="ru-RU"/>
          <w14:ligatures w14:val="none"/>
        </w:rPr>
        <w:t>нарахування та здійснення виплати доходів за ознаками, визначеними </w:t>
      </w:r>
      <w:hyperlink r:id="rId52" w:anchor="n113" w:tgtFrame="_blank" w:history="1">
        <w:r w:rsidRPr="00A6450B">
          <w:rPr>
            <w:rFonts w:ascii="Times New Roman" w:eastAsia="Times New Roman" w:hAnsi="Times New Roman" w:cs="Times New Roman"/>
            <w:color w:val="000099"/>
            <w:kern w:val="0"/>
            <w:u w:val="single"/>
            <w:lang w:eastAsia="ru-RU"/>
            <w14:ligatures w14:val="none"/>
          </w:rPr>
          <w:t>Довідником ознак доходів</w:t>
        </w:r>
      </w:hyperlink>
      <w:r w:rsidRPr="00A6450B">
        <w:rPr>
          <w:rFonts w:ascii="Times New Roman" w:eastAsia="Times New Roman" w:hAnsi="Times New Roman" w:cs="Times New Roman"/>
          <w:color w:val="333333"/>
          <w:kern w:val="0"/>
          <w:lang w:eastAsia="ru-RU"/>
          <w14:ligatures w14:val="none"/>
        </w:rPr>
        <w:t>, 101 (заробітна плата, нарахована (виплачена)) та/або 102 (виплати відповідно до умов цивільно-правового договору), у сумі від 20 до 40 мінімальних зарплат без утримання, перерахування до бюджету податку на доходи фізичних осіб, військового збору та/або єдиного внеску;</w:t>
      </w:r>
    </w:p>
    <w:p w14:paraId="7D2EDF38"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98" w:name="n1126"/>
      <w:bookmarkEnd w:id="298"/>
      <w:r w:rsidRPr="00A6450B">
        <w:rPr>
          <w:rFonts w:ascii="Times New Roman" w:eastAsia="Times New Roman" w:hAnsi="Times New Roman" w:cs="Times New Roman"/>
          <w:color w:val="333333"/>
          <w:kern w:val="0"/>
          <w:lang w:eastAsia="ru-RU"/>
          <w14:ligatures w14:val="none"/>
        </w:rPr>
        <w:t>здійснення виплати громадянам протягом попереднього звітного кварталу доходів від продажу сільськогосподарської продукції (ознака доходу 148, визначена </w:t>
      </w:r>
      <w:hyperlink r:id="rId53" w:anchor="n113" w:tgtFrame="_blank" w:history="1">
        <w:r w:rsidRPr="00A6450B">
          <w:rPr>
            <w:rFonts w:ascii="Times New Roman" w:eastAsia="Times New Roman" w:hAnsi="Times New Roman" w:cs="Times New Roman"/>
            <w:color w:val="000099"/>
            <w:kern w:val="0"/>
            <w:u w:val="single"/>
            <w:lang w:eastAsia="ru-RU"/>
            <w14:ligatures w14:val="none"/>
          </w:rPr>
          <w:t>Довідником ознак доходів</w:t>
        </w:r>
      </w:hyperlink>
      <w:r w:rsidRPr="00A6450B">
        <w:rPr>
          <w:rFonts w:ascii="Times New Roman" w:eastAsia="Times New Roman" w:hAnsi="Times New Roman" w:cs="Times New Roman"/>
          <w:color w:val="333333"/>
          <w:kern w:val="0"/>
          <w:lang w:eastAsia="ru-RU"/>
          <w14:ligatures w14:val="none"/>
        </w:rPr>
        <w:t>) у сумі понад 40 мінімальних зарплат без утримання та сплати податку на доходи фізичних осіб, військового збору;</w:t>
      </w:r>
    </w:p>
    <w:p w14:paraId="0A367111"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99" w:name="n1127"/>
      <w:bookmarkEnd w:id="299"/>
      <w:r w:rsidRPr="00A6450B">
        <w:rPr>
          <w:rFonts w:ascii="Times New Roman" w:eastAsia="Times New Roman" w:hAnsi="Times New Roman" w:cs="Times New Roman"/>
          <w:color w:val="333333"/>
          <w:kern w:val="0"/>
          <w:lang w:eastAsia="ru-RU"/>
          <w14:ligatures w14:val="none"/>
        </w:rPr>
        <w:t>кількість найманих працівників на сільськогосподарських підприємствах менше ніж 5 осіб за наявності у власності та/або оренді земельних ділянок площею понад 10 га, доходу за попередній звітний період у сумі понад 1 млн грн;</w:t>
      </w:r>
    </w:p>
    <w:p w14:paraId="659C471B"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00" w:name="n1128"/>
      <w:bookmarkEnd w:id="300"/>
      <w:r w:rsidRPr="00A6450B">
        <w:rPr>
          <w:rFonts w:ascii="Times New Roman" w:eastAsia="Times New Roman" w:hAnsi="Times New Roman" w:cs="Times New Roman"/>
          <w:color w:val="333333"/>
          <w:kern w:val="0"/>
          <w:lang w:eastAsia="ru-RU"/>
          <w14:ligatures w14:val="none"/>
        </w:rPr>
        <w:t>кількість найманих працівників на підприємствах будівельної галузі менше ніж 5 осіб за наявності відведених у поточному та/або попередньому звітному роках земельних ділянок площею понад 0,5 га;</w:t>
      </w:r>
    </w:p>
    <w:p w14:paraId="3760BDE9"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01" w:name="n1129"/>
      <w:bookmarkEnd w:id="301"/>
      <w:r w:rsidRPr="00A6450B">
        <w:rPr>
          <w:rFonts w:ascii="Times New Roman" w:eastAsia="Times New Roman" w:hAnsi="Times New Roman" w:cs="Times New Roman"/>
          <w:color w:val="333333"/>
          <w:kern w:val="0"/>
          <w:lang w:eastAsia="ru-RU"/>
          <w14:ligatures w14:val="none"/>
        </w:rPr>
        <w:t>наявність кредиторської заборгованості з податку на доходи фізичних осіб та військового збору у сумі понад 10 відсотків суми сплаченого податку на доходи фізичних осіб та військового збору у попередньому звітному періоді, але не менше ніж 50 та не більше ніж 100 тис.грн;</w:t>
      </w:r>
    </w:p>
    <w:p w14:paraId="15626B17"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02" w:name="n1130"/>
      <w:bookmarkEnd w:id="302"/>
      <w:r w:rsidRPr="00A6450B">
        <w:rPr>
          <w:rFonts w:ascii="Times New Roman" w:eastAsia="Times New Roman" w:hAnsi="Times New Roman" w:cs="Times New Roman"/>
          <w:color w:val="333333"/>
          <w:kern w:val="0"/>
          <w:lang w:eastAsia="ru-RU"/>
          <w14:ligatures w14:val="none"/>
        </w:rPr>
        <w:t>збільшення (зменшення) у звітності суми нарахованого єдиного внеску за попередні періоди на 10-20 відсотків загальної суми нарахованого єдиного внеску за останні 12 місяців, що передують звітному періоду;</w:t>
      </w:r>
    </w:p>
    <w:p w14:paraId="7BB303DB"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03" w:name="n1131"/>
      <w:bookmarkEnd w:id="303"/>
      <w:r w:rsidRPr="00A6450B">
        <w:rPr>
          <w:rFonts w:ascii="Times New Roman" w:eastAsia="Times New Roman" w:hAnsi="Times New Roman" w:cs="Times New Roman"/>
          <w:color w:val="333333"/>
          <w:kern w:val="0"/>
          <w:lang w:eastAsia="ru-RU"/>
          <w14:ligatures w14:val="none"/>
        </w:rPr>
        <w:t>порушення встановлених строків сплати єдиного внеску на 180-365 днів;</w:t>
      </w:r>
    </w:p>
    <w:p w14:paraId="1DA7D2BC"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04" w:name="n1132"/>
      <w:bookmarkEnd w:id="304"/>
      <w:r w:rsidRPr="00A6450B">
        <w:rPr>
          <w:rFonts w:ascii="Times New Roman" w:eastAsia="Times New Roman" w:hAnsi="Times New Roman" w:cs="Times New Roman"/>
          <w:color w:val="333333"/>
          <w:kern w:val="0"/>
          <w:lang w:eastAsia="ru-RU"/>
          <w14:ligatures w14:val="none"/>
        </w:rPr>
        <w:t>3) незначного ступеня ризику:</w:t>
      </w:r>
    </w:p>
    <w:p w14:paraId="4A4C389C"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05" w:name="n1133"/>
      <w:bookmarkEnd w:id="305"/>
      <w:r w:rsidRPr="00A6450B">
        <w:rPr>
          <w:rFonts w:ascii="Times New Roman" w:eastAsia="Times New Roman" w:hAnsi="Times New Roman" w:cs="Times New Roman"/>
          <w:color w:val="333333"/>
          <w:kern w:val="0"/>
          <w:lang w:eastAsia="ru-RU"/>
          <w14:ligatures w14:val="none"/>
        </w:rPr>
        <w:t>нарахування та виплата доходів за ознаками, визначеними </w:t>
      </w:r>
      <w:hyperlink r:id="rId54" w:anchor="n113" w:tgtFrame="_blank" w:history="1">
        <w:r w:rsidRPr="00A6450B">
          <w:rPr>
            <w:rFonts w:ascii="Times New Roman" w:eastAsia="Times New Roman" w:hAnsi="Times New Roman" w:cs="Times New Roman"/>
            <w:color w:val="000099"/>
            <w:kern w:val="0"/>
            <w:u w:val="single"/>
            <w:lang w:eastAsia="ru-RU"/>
            <w14:ligatures w14:val="none"/>
          </w:rPr>
          <w:t>Довідником ознак доходів</w:t>
        </w:r>
      </w:hyperlink>
      <w:r w:rsidRPr="00A6450B">
        <w:rPr>
          <w:rFonts w:ascii="Times New Roman" w:eastAsia="Times New Roman" w:hAnsi="Times New Roman" w:cs="Times New Roman"/>
          <w:color w:val="333333"/>
          <w:kern w:val="0"/>
          <w:lang w:eastAsia="ru-RU"/>
          <w14:ligatures w14:val="none"/>
        </w:rPr>
        <w:t>, 101 (заробітна плата, нарахована (виплачена)) та/або 102 (виплати відповідно до умов цивільно-правового договору), у сумі від 5 до 20 мінімальних зарплат без утримання, перерахування до бюджету податку на доходи фізичних осіб, військового збору та/або єдиного внеску;</w:t>
      </w:r>
    </w:p>
    <w:p w14:paraId="692488FE"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06" w:name="n1134"/>
      <w:bookmarkEnd w:id="306"/>
      <w:r w:rsidRPr="00A6450B">
        <w:rPr>
          <w:rFonts w:ascii="Times New Roman" w:eastAsia="Times New Roman" w:hAnsi="Times New Roman" w:cs="Times New Roman"/>
          <w:color w:val="333333"/>
          <w:kern w:val="0"/>
          <w:lang w:eastAsia="ru-RU"/>
          <w14:ligatures w14:val="none"/>
        </w:rPr>
        <w:t>кількість найманих працівників менше від кількості зареєстрованих реєстраторів розрахункових операцій (окремо на господарську одиницю);</w:t>
      </w:r>
    </w:p>
    <w:p w14:paraId="39A86DB0"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07" w:name="n1135"/>
      <w:bookmarkEnd w:id="307"/>
      <w:r w:rsidRPr="00A6450B">
        <w:rPr>
          <w:rFonts w:ascii="Times New Roman" w:eastAsia="Times New Roman" w:hAnsi="Times New Roman" w:cs="Times New Roman"/>
          <w:color w:val="333333"/>
          <w:kern w:val="0"/>
          <w:lang w:eastAsia="ru-RU"/>
          <w14:ligatures w14:val="none"/>
        </w:rPr>
        <w:t xml:space="preserve">наявність кредиторської заборгованості з податку на доходи фізичних осіб та військового збору у сумі понад 10 відсотків суми сплаченого податку на доходи </w:t>
      </w:r>
      <w:r w:rsidRPr="00A6450B">
        <w:rPr>
          <w:rFonts w:ascii="Times New Roman" w:eastAsia="Times New Roman" w:hAnsi="Times New Roman" w:cs="Times New Roman"/>
          <w:color w:val="333333"/>
          <w:kern w:val="0"/>
          <w:lang w:eastAsia="ru-RU"/>
          <w14:ligatures w14:val="none"/>
        </w:rPr>
        <w:lastRenderedPageBreak/>
        <w:t>фізичних осіб та військового збору у попередньому звітному періоді, але не менше ніж 10 та не більше ніж 50 тис.грн;</w:t>
      </w:r>
    </w:p>
    <w:p w14:paraId="0D84C49E"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08" w:name="n1136"/>
      <w:bookmarkEnd w:id="308"/>
      <w:r w:rsidRPr="00A6450B">
        <w:rPr>
          <w:rFonts w:ascii="Times New Roman" w:eastAsia="Times New Roman" w:hAnsi="Times New Roman" w:cs="Times New Roman"/>
          <w:color w:val="333333"/>
          <w:kern w:val="0"/>
          <w:lang w:eastAsia="ru-RU"/>
          <w14:ligatures w14:val="none"/>
        </w:rPr>
        <w:t>збільшення (зменшення) у звітності суми нарахованого єдиного внеску за попередні періоди менше 10 відсотків загальної суми нарахованого єдиного внеску за останні 12 місяців, що передують звітному періоду;</w:t>
      </w:r>
    </w:p>
    <w:p w14:paraId="3977A668"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09" w:name="n1137"/>
      <w:bookmarkEnd w:id="309"/>
      <w:r w:rsidRPr="00A6450B">
        <w:rPr>
          <w:rFonts w:ascii="Times New Roman" w:eastAsia="Times New Roman" w:hAnsi="Times New Roman" w:cs="Times New Roman"/>
          <w:color w:val="333333"/>
          <w:kern w:val="0"/>
          <w:lang w:eastAsia="ru-RU"/>
          <w14:ligatures w14:val="none"/>
        </w:rPr>
        <w:t>порушення більше ніж на 30 календарних днів встановлених строків подання звітності з єдиного внеску за три або більше звітні періоди протягом календарного року;</w:t>
      </w:r>
    </w:p>
    <w:p w14:paraId="3E37C8C9" w14:textId="77777777" w:rsidR="00A6450B" w:rsidRPr="00A6450B" w:rsidRDefault="00A6450B" w:rsidP="00A6450B">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10" w:name="n1138"/>
      <w:bookmarkEnd w:id="310"/>
      <w:r w:rsidRPr="00A6450B">
        <w:rPr>
          <w:rFonts w:ascii="Times New Roman" w:eastAsia="Times New Roman" w:hAnsi="Times New Roman" w:cs="Times New Roman"/>
          <w:color w:val="333333"/>
          <w:kern w:val="0"/>
          <w:lang w:eastAsia="ru-RU"/>
          <w14:ligatures w14:val="none"/>
        </w:rPr>
        <w:t>порушення встановлених строків сплати єдиного внеску на 30-180 днів.</w:t>
      </w:r>
    </w:p>
    <w:p w14:paraId="7D1E9B29" w14:textId="77777777" w:rsidR="00A6450B" w:rsidRPr="00A6450B" w:rsidRDefault="00A6450B" w:rsidP="00A6450B">
      <w:pPr>
        <w:spacing w:after="150" w:line="240" w:lineRule="auto"/>
        <w:jc w:val="center"/>
        <w:rPr>
          <w:rFonts w:ascii="Times New Roman" w:eastAsia="Times New Roman" w:hAnsi="Times New Roman" w:cs="Times New Roman"/>
          <w:i/>
          <w:iCs/>
          <w:color w:val="999999"/>
          <w:kern w:val="0"/>
          <w:lang w:eastAsia="ru-RU"/>
          <w14:ligatures w14:val="none"/>
        </w:rPr>
      </w:pPr>
      <w:bookmarkStart w:id="311" w:name="n523"/>
      <w:bookmarkEnd w:id="311"/>
      <w:r w:rsidRPr="00A6450B">
        <w:rPr>
          <w:rFonts w:ascii="Times New Roman" w:eastAsia="Times New Roman" w:hAnsi="Times New Roman" w:cs="Times New Roman"/>
          <w:i/>
          <w:iCs/>
          <w:color w:val="999999"/>
          <w:kern w:val="0"/>
          <w:lang w:eastAsia="ru-RU"/>
          <w14:ligatures w14:val="none"/>
        </w:rPr>
        <w:t>{Порядок в редакції Наказів Міністерства фінансів </w:t>
      </w:r>
      <w:hyperlink r:id="rId55" w:anchor="n6" w:tgtFrame="_blank" w:history="1">
        <w:r w:rsidRPr="00A6450B">
          <w:rPr>
            <w:rFonts w:ascii="Times New Roman" w:eastAsia="Times New Roman" w:hAnsi="Times New Roman" w:cs="Times New Roman"/>
            <w:i/>
            <w:iCs/>
            <w:color w:val="666666"/>
            <w:kern w:val="0"/>
            <w:u w:val="single"/>
            <w:lang w:eastAsia="ru-RU"/>
            <w14:ligatures w14:val="none"/>
          </w:rPr>
          <w:t>№ 723 від 04.08.2016</w:t>
        </w:r>
      </w:hyperlink>
      <w:r w:rsidRPr="00A6450B">
        <w:rPr>
          <w:rFonts w:ascii="Times New Roman" w:eastAsia="Times New Roman" w:hAnsi="Times New Roman" w:cs="Times New Roman"/>
          <w:i/>
          <w:iCs/>
          <w:color w:val="999999"/>
          <w:kern w:val="0"/>
          <w:lang w:eastAsia="ru-RU"/>
          <w14:ligatures w14:val="none"/>
        </w:rPr>
        <w:t>, </w:t>
      </w:r>
      <w:hyperlink r:id="rId56" w:anchor="n17" w:tgtFrame="_blank" w:history="1">
        <w:r w:rsidRPr="00A6450B">
          <w:rPr>
            <w:rFonts w:ascii="Times New Roman" w:eastAsia="Times New Roman" w:hAnsi="Times New Roman" w:cs="Times New Roman"/>
            <w:i/>
            <w:iCs/>
            <w:color w:val="666666"/>
            <w:kern w:val="0"/>
            <w:u w:val="single"/>
            <w:lang w:eastAsia="ru-RU"/>
            <w14:ligatures w14:val="none"/>
          </w:rPr>
          <w:t>№ 386 від 26.03.2018</w:t>
        </w:r>
      </w:hyperlink>
      <w:r w:rsidRPr="00A6450B">
        <w:rPr>
          <w:rFonts w:ascii="Times New Roman" w:eastAsia="Times New Roman" w:hAnsi="Times New Roman" w:cs="Times New Roman"/>
          <w:i/>
          <w:iCs/>
          <w:color w:val="999999"/>
          <w:kern w:val="0"/>
          <w:lang w:eastAsia="ru-RU"/>
          <w14:ligatures w14:val="none"/>
        </w:rPr>
        <w:t>, </w:t>
      </w:r>
      <w:hyperlink r:id="rId57" w:anchor="n2107" w:tgtFrame="_blank" w:history="1">
        <w:r w:rsidRPr="00A6450B">
          <w:rPr>
            <w:rFonts w:ascii="Times New Roman" w:eastAsia="Times New Roman" w:hAnsi="Times New Roman" w:cs="Times New Roman"/>
            <w:i/>
            <w:iCs/>
            <w:color w:val="666666"/>
            <w:kern w:val="0"/>
            <w:u w:val="single"/>
            <w:lang w:eastAsia="ru-RU"/>
            <w14:ligatures w14:val="none"/>
          </w:rPr>
          <w:t>548 від 07.09.2020</w:t>
        </w:r>
      </w:hyperlink>
      <w:r w:rsidRPr="00A6450B">
        <w:rPr>
          <w:rFonts w:ascii="Times New Roman" w:eastAsia="Times New Roman" w:hAnsi="Times New Roman" w:cs="Times New Roman"/>
          <w:i/>
          <w:iCs/>
          <w:color w:val="999999"/>
          <w:kern w:val="0"/>
          <w:lang w:eastAsia="ru-RU"/>
          <w14:ligatures w14:val="none"/>
        </w:rPr>
        <w:t>}</w:t>
      </w:r>
    </w:p>
    <w:tbl>
      <w:tblPr>
        <w:tblW w:w="5000" w:type="pct"/>
        <w:tblCellMar>
          <w:left w:w="0" w:type="dxa"/>
          <w:right w:w="0" w:type="dxa"/>
        </w:tblCellMar>
        <w:tblLook w:val="04A0" w:firstRow="1" w:lastRow="0" w:firstColumn="1" w:lastColumn="0" w:noHBand="0" w:noVBand="1"/>
      </w:tblPr>
      <w:tblGrid>
        <w:gridCol w:w="3791"/>
        <w:gridCol w:w="5235"/>
      </w:tblGrid>
      <w:tr w:rsidR="00A6450B" w:rsidRPr="00A6450B" w14:paraId="201E707D" w14:textId="77777777" w:rsidTr="00A6450B">
        <w:tc>
          <w:tcPr>
            <w:tcW w:w="2100" w:type="pct"/>
            <w:hideMark/>
          </w:tcPr>
          <w:p w14:paraId="1A33736D" w14:textId="77777777" w:rsidR="00A6450B" w:rsidRPr="00A6450B" w:rsidRDefault="00A6450B" w:rsidP="00A6450B">
            <w:pPr>
              <w:spacing w:before="300" w:after="150" w:line="240" w:lineRule="auto"/>
              <w:jc w:val="center"/>
              <w:rPr>
                <w:rFonts w:ascii="Times New Roman" w:eastAsia="Times New Roman" w:hAnsi="Times New Roman" w:cs="Times New Roman"/>
                <w:kern w:val="0"/>
                <w:lang w:eastAsia="ru-RU"/>
                <w14:ligatures w14:val="none"/>
              </w:rPr>
            </w:pPr>
            <w:bookmarkStart w:id="312" w:name="n264"/>
            <w:bookmarkEnd w:id="312"/>
            <w:r w:rsidRPr="00A6450B">
              <w:rPr>
                <w:rFonts w:ascii="Times New Roman" w:eastAsia="Times New Roman" w:hAnsi="Times New Roman" w:cs="Times New Roman"/>
                <w:b/>
                <w:bCs/>
                <w:kern w:val="0"/>
                <w:lang w:eastAsia="ru-RU"/>
                <w14:ligatures w14:val="none"/>
              </w:rPr>
              <w:t>Директор</w:t>
            </w:r>
            <w:r w:rsidRPr="00A6450B">
              <w:rPr>
                <w:rFonts w:ascii="Times New Roman" w:eastAsia="Times New Roman" w:hAnsi="Times New Roman" w:cs="Times New Roman"/>
                <w:kern w:val="0"/>
                <w:lang w:eastAsia="ru-RU"/>
                <w14:ligatures w14:val="none"/>
              </w:rPr>
              <w:br/>
            </w:r>
            <w:r w:rsidRPr="00A6450B">
              <w:rPr>
                <w:rFonts w:ascii="Times New Roman" w:eastAsia="Times New Roman" w:hAnsi="Times New Roman" w:cs="Times New Roman"/>
                <w:b/>
                <w:bCs/>
                <w:kern w:val="0"/>
                <w:lang w:eastAsia="ru-RU"/>
                <w14:ligatures w14:val="none"/>
              </w:rPr>
              <w:t>Департаменту податкової,</w:t>
            </w:r>
            <w:r w:rsidRPr="00A6450B">
              <w:rPr>
                <w:rFonts w:ascii="Times New Roman" w:eastAsia="Times New Roman" w:hAnsi="Times New Roman" w:cs="Times New Roman"/>
                <w:kern w:val="0"/>
                <w:lang w:eastAsia="ru-RU"/>
                <w14:ligatures w14:val="none"/>
              </w:rPr>
              <w:br/>
            </w:r>
            <w:r w:rsidRPr="00A6450B">
              <w:rPr>
                <w:rFonts w:ascii="Times New Roman" w:eastAsia="Times New Roman" w:hAnsi="Times New Roman" w:cs="Times New Roman"/>
                <w:b/>
                <w:bCs/>
                <w:kern w:val="0"/>
                <w:lang w:eastAsia="ru-RU"/>
                <w14:ligatures w14:val="none"/>
              </w:rPr>
              <w:t>митної політики та методології</w:t>
            </w:r>
            <w:r w:rsidRPr="00A6450B">
              <w:rPr>
                <w:rFonts w:ascii="Times New Roman" w:eastAsia="Times New Roman" w:hAnsi="Times New Roman" w:cs="Times New Roman"/>
                <w:kern w:val="0"/>
                <w:lang w:eastAsia="ru-RU"/>
                <w14:ligatures w14:val="none"/>
              </w:rPr>
              <w:br/>
            </w:r>
            <w:r w:rsidRPr="00A6450B">
              <w:rPr>
                <w:rFonts w:ascii="Times New Roman" w:eastAsia="Times New Roman" w:hAnsi="Times New Roman" w:cs="Times New Roman"/>
                <w:b/>
                <w:bCs/>
                <w:kern w:val="0"/>
                <w:lang w:eastAsia="ru-RU"/>
                <w14:ligatures w14:val="none"/>
              </w:rPr>
              <w:t>бухгалтерського обліку</w:t>
            </w:r>
          </w:p>
        </w:tc>
        <w:tc>
          <w:tcPr>
            <w:tcW w:w="3500" w:type="pct"/>
            <w:hideMark/>
          </w:tcPr>
          <w:p w14:paraId="42DFD5EB" w14:textId="77777777" w:rsidR="00A6450B" w:rsidRPr="00A6450B" w:rsidRDefault="00A6450B" w:rsidP="00A6450B">
            <w:pPr>
              <w:spacing w:before="300" w:after="0" w:line="240" w:lineRule="auto"/>
              <w:jc w:val="right"/>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lang w:eastAsia="ru-RU"/>
                <w14:ligatures w14:val="none"/>
              </w:rPr>
              <w:br/>
            </w:r>
            <w:r w:rsidRPr="00A6450B">
              <w:rPr>
                <w:rFonts w:ascii="Times New Roman" w:eastAsia="Times New Roman" w:hAnsi="Times New Roman" w:cs="Times New Roman"/>
                <w:kern w:val="0"/>
                <w:lang w:eastAsia="ru-RU"/>
                <w14:ligatures w14:val="none"/>
              </w:rPr>
              <w:br/>
            </w:r>
            <w:r w:rsidRPr="00A6450B">
              <w:rPr>
                <w:rFonts w:ascii="Times New Roman" w:eastAsia="Times New Roman" w:hAnsi="Times New Roman" w:cs="Times New Roman"/>
                <w:kern w:val="0"/>
                <w:lang w:eastAsia="ru-RU"/>
                <w14:ligatures w14:val="none"/>
              </w:rPr>
              <w:br/>
            </w:r>
            <w:r w:rsidRPr="00A6450B">
              <w:rPr>
                <w:rFonts w:ascii="Times New Roman" w:eastAsia="Times New Roman" w:hAnsi="Times New Roman" w:cs="Times New Roman"/>
                <w:b/>
                <w:bCs/>
                <w:kern w:val="0"/>
                <w:lang w:eastAsia="ru-RU"/>
                <w14:ligatures w14:val="none"/>
              </w:rPr>
              <w:t>М.О. Чмерук</w:t>
            </w:r>
          </w:p>
        </w:tc>
      </w:tr>
    </w:tbl>
    <w:p w14:paraId="4ACE3643" w14:textId="77777777" w:rsidR="00A6450B" w:rsidRPr="00A6450B" w:rsidRDefault="009841F6" w:rsidP="00A6450B">
      <w:pPr>
        <w:spacing w:after="0" w:line="240" w:lineRule="auto"/>
        <w:rPr>
          <w:rFonts w:ascii="Times New Roman" w:eastAsia="Times New Roman" w:hAnsi="Times New Roman" w:cs="Times New Roman"/>
          <w:kern w:val="0"/>
          <w:lang w:eastAsia="ru-RU"/>
          <w14:ligatures w14:val="none"/>
        </w:rPr>
      </w:pPr>
      <w:r>
        <w:rPr>
          <w:rFonts w:ascii="Times New Roman" w:eastAsia="Times New Roman" w:hAnsi="Times New Roman" w:cs="Times New Roman"/>
          <w:noProof/>
          <w:kern w:val="0"/>
          <w:lang w:eastAsia="ru-RU"/>
        </w:rPr>
        <w:pict w14:anchorId="4E779503">
          <v:rect id="_x0000_i1026" alt="" style="width:451.3pt;height:.05pt;mso-width-percent:0;mso-height-percent:0;mso-width-percent:0;mso-height-percent:0" o:hrstd="t" o:hrnoshade="t" o:hr="t" fillcolor="black" stroked="f"/>
        </w:pict>
      </w:r>
    </w:p>
    <w:tbl>
      <w:tblPr>
        <w:tblW w:w="5000" w:type="pct"/>
        <w:tblCellMar>
          <w:left w:w="0" w:type="dxa"/>
          <w:right w:w="0" w:type="dxa"/>
        </w:tblCellMar>
        <w:tblLook w:val="04A0" w:firstRow="1" w:lastRow="0" w:firstColumn="1" w:lastColumn="0" w:noHBand="0" w:noVBand="1"/>
      </w:tblPr>
      <w:tblGrid>
        <w:gridCol w:w="4778"/>
        <w:gridCol w:w="4248"/>
      </w:tblGrid>
      <w:tr w:rsidR="00A6450B" w:rsidRPr="00A6450B" w14:paraId="726FED4B" w14:textId="77777777" w:rsidTr="00A6450B">
        <w:tc>
          <w:tcPr>
            <w:tcW w:w="2250" w:type="pct"/>
            <w:hideMark/>
          </w:tcPr>
          <w:p w14:paraId="640493C9" w14:textId="77777777" w:rsidR="00A6450B" w:rsidRPr="00A6450B" w:rsidRDefault="00A6450B" w:rsidP="00A6450B">
            <w:pPr>
              <w:spacing w:before="150" w:after="150" w:line="240" w:lineRule="auto"/>
              <w:rPr>
                <w:rFonts w:ascii="Times New Roman" w:eastAsia="Times New Roman" w:hAnsi="Times New Roman" w:cs="Times New Roman"/>
                <w:kern w:val="0"/>
                <w:lang w:eastAsia="ru-RU"/>
                <w14:ligatures w14:val="none"/>
              </w:rPr>
            </w:pPr>
            <w:bookmarkStart w:id="313" w:name="n279"/>
            <w:bookmarkStart w:id="314" w:name="n265"/>
            <w:bookmarkEnd w:id="313"/>
            <w:bookmarkEnd w:id="314"/>
          </w:p>
        </w:tc>
        <w:tc>
          <w:tcPr>
            <w:tcW w:w="2000" w:type="pct"/>
            <w:hideMark/>
          </w:tcPr>
          <w:p w14:paraId="1EA671FE" w14:textId="77777777" w:rsidR="00A6450B" w:rsidRPr="00A6450B" w:rsidRDefault="00A6450B" w:rsidP="00A6450B">
            <w:pPr>
              <w:spacing w:before="150" w:after="150" w:line="240" w:lineRule="auto"/>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lang w:eastAsia="ru-RU"/>
                <w14:ligatures w14:val="none"/>
              </w:rPr>
              <w:t>Додаток 1</w:t>
            </w:r>
            <w:r w:rsidRPr="00A6450B">
              <w:rPr>
                <w:rFonts w:ascii="Times New Roman" w:eastAsia="Times New Roman" w:hAnsi="Times New Roman" w:cs="Times New Roman"/>
                <w:kern w:val="0"/>
                <w:lang w:eastAsia="ru-RU"/>
                <w14:ligatures w14:val="none"/>
              </w:rPr>
              <w:br/>
              <w:t>до Порядку формування</w:t>
            </w:r>
            <w:r w:rsidRPr="00A6450B">
              <w:rPr>
                <w:rFonts w:ascii="Times New Roman" w:eastAsia="Times New Roman" w:hAnsi="Times New Roman" w:cs="Times New Roman"/>
                <w:kern w:val="0"/>
                <w:lang w:eastAsia="ru-RU"/>
                <w14:ligatures w14:val="none"/>
              </w:rPr>
              <w:br/>
              <w:t>плану-графіка проведення</w:t>
            </w:r>
            <w:r w:rsidRPr="00A6450B">
              <w:rPr>
                <w:rFonts w:ascii="Times New Roman" w:eastAsia="Times New Roman" w:hAnsi="Times New Roman" w:cs="Times New Roman"/>
                <w:kern w:val="0"/>
                <w:lang w:eastAsia="ru-RU"/>
                <w14:ligatures w14:val="none"/>
              </w:rPr>
              <w:br/>
              <w:t>документальних планових</w:t>
            </w:r>
            <w:r w:rsidRPr="00A6450B">
              <w:rPr>
                <w:rFonts w:ascii="Times New Roman" w:eastAsia="Times New Roman" w:hAnsi="Times New Roman" w:cs="Times New Roman"/>
                <w:kern w:val="0"/>
                <w:lang w:eastAsia="ru-RU"/>
                <w14:ligatures w14:val="none"/>
              </w:rPr>
              <w:br/>
              <w:t>перевірок платників податків</w:t>
            </w:r>
            <w:r w:rsidRPr="00A6450B">
              <w:rPr>
                <w:rFonts w:ascii="Times New Roman" w:eastAsia="Times New Roman" w:hAnsi="Times New Roman" w:cs="Times New Roman"/>
                <w:kern w:val="0"/>
                <w:lang w:eastAsia="ru-RU"/>
                <w14:ligatures w14:val="none"/>
              </w:rPr>
              <w:br/>
              <w:t>(пункт 1 розділу II)</w:t>
            </w:r>
          </w:p>
        </w:tc>
      </w:tr>
    </w:tbl>
    <w:p w14:paraId="4AEF5626" w14:textId="77777777" w:rsidR="00A6450B" w:rsidRPr="00A6450B" w:rsidRDefault="00A6450B" w:rsidP="00A6450B">
      <w:pPr>
        <w:spacing w:before="150" w:after="150" w:line="240" w:lineRule="auto"/>
        <w:ind w:left="450" w:right="450"/>
        <w:jc w:val="center"/>
        <w:rPr>
          <w:rFonts w:ascii="Times New Roman" w:eastAsia="Times New Roman" w:hAnsi="Times New Roman" w:cs="Times New Roman"/>
          <w:color w:val="333333"/>
          <w:kern w:val="0"/>
          <w:lang w:eastAsia="ru-RU"/>
          <w14:ligatures w14:val="none"/>
        </w:rPr>
      </w:pPr>
      <w:bookmarkStart w:id="315" w:name="n1185"/>
      <w:bookmarkEnd w:id="315"/>
      <w:r w:rsidRPr="00A6450B">
        <w:rPr>
          <w:rFonts w:ascii="Times New Roman" w:eastAsia="Times New Roman" w:hAnsi="Times New Roman" w:cs="Times New Roman"/>
          <w:b/>
          <w:bCs/>
          <w:color w:val="333333"/>
          <w:kern w:val="0"/>
          <w:sz w:val="28"/>
          <w:szCs w:val="28"/>
          <w:lang w:eastAsia="ru-RU"/>
          <w14:ligatures w14:val="none"/>
        </w:rPr>
        <w:t>ПЛАН-ГРАФІК </w:t>
      </w:r>
      <w:r w:rsidRPr="00A6450B">
        <w:rPr>
          <w:rFonts w:ascii="Times New Roman" w:eastAsia="Times New Roman" w:hAnsi="Times New Roman" w:cs="Times New Roman"/>
          <w:color w:val="333333"/>
          <w:kern w:val="0"/>
          <w:lang w:eastAsia="ru-RU"/>
          <w14:ligatures w14:val="none"/>
        </w:rPr>
        <w:br/>
      </w:r>
      <w:r w:rsidRPr="00A6450B">
        <w:rPr>
          <w:rFonts w:ascii="Times New Roman" w:eastAsia="Times New Roman" w:hAnsi="Times New Roman" w:cs="Times New Roman"/>
          <w:b/>
          <w:bCs/>
          <w:color w:val="333333"/>
          <w:kern w:val="0"/>
          <w:sz w:val="28"/>
          <w:szCs w:val="28"/>
          <w:lang w:eastAsia="ru-RU"/>
          <w14:ligatures w14:val="none"/>
        </w:rPr>
        <w:t>проведення документальних планових перевірок платників податків на 20___ рік</w:t>
      </w:r>
    </w:p>
    <w:tbl>
      <w:tblPr>
        <w:tblW w:w="5000" w:type="pct"/>
        <w:tblCellMar>
          <w:top w:w="20" w:type="dxa"/>
          <w:left w:w="20" w:type="dxa"/>
          <w:bottom w:w="20" w:type="dxa"/>
          <w:right w:w="20" w:type="dxa"/>
        </w:tblCellMar>
        <w:tblLook w:val="04A0" w:firstRow="1" w:lastRow="0" w:firstColumn="1" w:lastColumn="0" w:noHBand="0" w:noVBand="1"/>
      </w:tblPr>
      <w:tblGrid>
        <w:gridCol w:w="2342"/>
        <w:gridCol w:w="2589"/>
        <w:gridCol w:w="1596"/>
        <w:gridCol w:w="2483"/>
      </w:tblGrid>
      <w:tr w:rsidR="00A6450B" w:rsidRPr="00A6450B" w14:paraId="5A9D3D36" w14:textId="77777777" w:rsidTr="00A6450B">
        <w:trPr>
          <w:trHeight w:val="160"/>
        </w:trPr>
        <w:tc>
          <w:tcPr>
            <w:tcW w:w="3255" w:type="dxa"/>
            <w:tcBorders>
              <w:top w:val="single" w:sz="6" w:space="0" w:color="000000"/>
              <w:left w:val="single" w:sz="6" w:space="0" w:color="000000"/>
              <w:bottom w:val="single" w:sz="6" w:space="0" w:color="000000"/>
              <w:right w:val="single" w:sz="6" w:space="0" w:color="000000"/>
            </w:tcBorders>
            <w:hideMark/>
          </w:tcPr>
          <w:p w14:paraId="5AC8CC0A" w14:textId="77777777" w:rsidR="00A6450B" w:rsidRPr="00A6450B" w:rsidRDefault="00A6450B" w:rsidP="00A6450B">
            <w:pPr>
              <w:spacing w:before="150" w:after="0" w:line="240" w:lineRule="auto"/>
              <w:jc w:val="center"/>
              <w:rPr>
                <w:rFonts w:ascii="Times New Roman" w:eastAsia="Times New Roman" w:hAnsi="Times New Roman" w:cs="Times New Roman"/>
                <w:kern w:val="0"/>
                <w:lang w:eastAsia="ru-RU"/>
                <w14:ligatures w14:val="none"/>
              </w:rPr>
            </w:pPr>
            <w:bookmarkStart w:id="316" w:name="n1189"/>
            <w:bookmarkEnd w:id="316"/>
            <w:r w:rsidRPr="00A6450B">
              <w:rPr>
                <w:rFonts w:ascii="Times New Roman" w:eastAsia="Times New Roman" w:hAnsi="Times New Roman" w:cs="Times New Roman"/>
                <w:kern w:val="0"/>
                <w:lang w:eastAsia="ru-RU"/>
                <w14:ligatures w14:val="none"/>
              </w:rPr>
              <w:t>Код за ЄДРПОУ чи реєстраційний номер облікової картки платника податків або серія (за наявності)</w:t>
            </w:r>
            <w:r w:rsidRPr="00A6450B">
              <w:rPr>
                <w:rFonts w:ascii="Times New Roman" w:eastAsia="Times New Roman" w:hAnsi="Times New Roman" w:cs="Times New Roman"/>
                <w:kern w:val="0"/>
                <w:lang w:eastAsia="ru-RU"/>
                <w14:ligatures w14:val="none"/>
              </w:rPr>
              <w:br/>
              <w:t>та номер паспорта*</w:t>
            </w:r>
          </w:p>
        </w:tc>
        <w:tc>
          <w:tcPr>
            <w:tcW w:w="3795" w:type="dxa"/>
            <w:tcBorders>
              <w:top w:val="single" w:sz="6" w:space="0" w:color="auto"/>
              <w:left w:val="nil"/>
              <w:bottom w:val="single" w:sz="6" w:space="0" w:color="auto"/>
              <w:right w:val="single" w:sz="6" w:space="0" w:color="auto"/>
            </w:tcBorders>
            <w:hideMark/>
          </w:tcPr>
          <w:p w14:paraId="64488C79" w14:textId="77777777" w:rsidR="00A6450B" w:rsidRPr="00A6450B" w:rsidRDefault="00A6450B" w:rsidP="00A6450B">
            <w:pPr>
              <w:spacing w:before="150" w:after="0" w:line="240" w:lineRule="auto"/>
              <w:jc w:val="center"/>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lang w:eastAsia="ru-RU"/>
                <w14:ligatures w14:val="none"/>
              </w:rPr>
              <w:t>Повне найменування платника податків (прізвище, ім’я, по батькові (за наявності)) платника податків - фізичної особи)</w:t>
            </w:r>
          </w:p>
        </w:tc>
        <w:tc>
          <w:tcPr>
            <w:tcW w:w="2055" w:type="dxa"/>
            <w:tcBorders>
              <w:top w:val="single" w:sz="6" w:space="0" w:color="auto"/>
              <w:left w:val="nil"/>
              <w:bottom w:val="single" w:sz="6" w:space="0" w:color="auto"/>
              <w:right w:val="single" w:sz="6" w:space="0" w:color="auto"/>
            </w:tcBorders>
            <w:hideMark/>
          </w:tcPr>
          <w:p w14:paraId="4E41ECED" w14:textId="77777777" w:rsidR="00A6450B" w:rsidRPr="00A6450B" w:rsidRDefault="00A6450B" w:rsidP="00A6450B">
            <w:pPr>
              <w:spacing w:before="150" w:after="0" w:line="240" w:lineRule="auto"/>
              <w:jc w:val="center"/>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lang w:eastAsia="ru-RU"/>
                <w14:ligatures w14:val="none"/>
              </w:rPr>
              <w:t>Код розділу, підрозділу, групи</w:t>
            </w:r>
          </w:p>
        </w:tc>
        <w:tc>
          <w:tcPr>
            <w:tcW w:w="3480" w:type="dxa"/>
            <w:tcBorders>
              <w:top w:val="single" w:sz="6" w:space="0" w:color="auto"/>
              <w:left w:val="nil"/>
              <w:bottom w:val="single" w:sz="6" w:space="0" w:color="auto"/>
              <w:right w:val="single" w:sz="6" w:space="0" w:color="auto"/>
            </w:tcBorders>
            <w:hideMark/>
          </w:tcPr>
          <w:p w14:paraId="522B1A4F" w14:textId="77777777" w:rsidR="00A6450B" w:rsidRPr="00A6450B" w:rsidRDefault="00A6450B" w:rsidP="00A6450B">
            <w:pPr>
              <w:spacing w:before="150" w:after="0" w:line="240" w:lineRule="auto"/>
              <w:jc w:val="center"/>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lang w:eastAsia="ru-RU"/>
                <w14:ligatures w14:val="none"/>
              </w:rPr>
              <w:t>Запланована документальна перевірка,</w:t>
            </w:r>
            <w:r w:rsidRPr="00A6450B">
              <w:rPr>
                <w:rFonts w:ascii="Times New Roman" w:eastAsia="Times New Roman" w:hAnsi="Times New Roman" w:cs="Times New Roman"/>
                <w:kern w:val="0"/>
                <w:lang w:eastAsia="ru-RU"/>
                <w14:ligatures w14:val="none"/>
              </w:rPr>
              <w:br/>
              <w:t>місяць початку</w:t>
            </w:r>
          </w:p>
        </w:tc>
      </w:tr>
      <w:tr w:rsidR="00A6450B" w:rsidRPr="00A6450B" w14:paraId="58335174" w14:textId="77777777" w:rsidTr="00A6450B">
        <w:trPr>
          <w:trHeight w:val="160"/>
        </w:trPr>
        <w:tc>
          <w:tcPr>
            <w:tcW w:w="3255" w:type="dxa"/>
            <w:tcBorders>
              <w:top w:val="nil"/>
              <w:left w:val="single" w:sz="6" w:space="0" w:color="auto"/>
              <w:bottom w:val="single" w:sz="6" w:space="0" w:color="auto"/>
              <w:right w:val="single" w:sz="6" w:space="0" w:color="auto"/>
            </w:tcBorders>
            <w:hideMark/>
          </w:tcPr>
          <w:p w14:paraId="5D422BC3" w14:textId="77777777" w:rsidR="00A6450B" w:rsidRPr="00A6450B" w:rsidRDefault="00A6450B" w:rsidP="00A6450B">
            <w:pPr>
              <w:spacing w:before="150" w:after="0" w:line="240" w:lineRule="auto"/>
              <w:jc w:val="center"/>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lang w:eastAsia="ru-RU"/>
                <w14:ligatures w14:val="none"/>
              </w:rPr>
              <w:t>1</w:t>
            </w:r>
          </w:p>
        </w:tc>
        <w:tc>
          <w:tcPr>
            <w:tcW w:w="3795" w:type="dxa"/>
            <w:tcBorders>
              <w:top w:val="nil"/>
              <w:left w:val="nil"/>
              <w:bottom w:val="single" w:sz="6" w:space="0" w:color="auto"/>
              <w:right w:val="single" w:sz="6" w:space="0" w:color="auto"/>
            </w:tcBorders>
            <w:hideMark/>
          </w:tcPr>
          <w:p w14:paraId="4E95CE4D" w14:textId="77777777" w:rsidR="00A6450B" w:rsidRPr="00A6450B" w:rsidRDefault="00A6450B" w:rsidP="00A6450B">
            <w:pPr>
              <w:spacing w:before="150" w:after="0" w:line="240" w:lineRule="auto"/>
              <w:jc w:val="center"/>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lang w:eastAsia="ru-RU"/>
                <w14:ligatures w14:val="none"/>
              </w:rPr>
              <w:t>2</w:t>
            </w:r>
          </w:p>
        </w:tc>
        <w:tc>
          <w:tcPr>
            <w:tcW w:w="2055" w:type="dxa"/>
            <w:tcBorders>
              <w:top w:val="nil"/>
              <w:left w:val="nil"/>
              <w:bottom w:val="single" w:sz="6" w:space="0" w:color="auto"/>
              <w:right w:val="single" w:sz="6" w:space="0" w:color="auto"/>
            </w:tcBorders>
            <w:hideMark/>
          </w:tcPr>
          <w:p w14:paraId="6418407A" w14:textId="77777777" w:rsidR="00A6450B" w:rsidRPr="00A6450B" w:rsidRDefault="00A6450B" w:rsidP="00A6450B">
            <w:pPr>
              <w:spacing w:before="150" w:after="0" w:line="240" w:lineRule="auto"/>
              <w:jc w:val="center"/>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lang w:eastAsia="ru-RU"/>
                <w14:ligatures w14:val="none"/>
              </w:rPr>
              <w:t>3</w:t>
            </w:r>
          </w:p>
        </w:tc>
        <w:tc>
          <w:tcPr>
            <w:tcW w:w="3480" w:type="dxa"/>
            <w:tcBorders>
              <w:top w:val="nil"/>
              <w:left w:val="nil"/>
              <w:bottom w:val="single" w:sz="6" w:space="0" w:color="auto"/>
              <w:right w:val="single" w:sz="6" w:space="0" w:color="auto"/>
            </w:tcBorders>
            <w:hideMark/>
          </w:tcPr>
          <w:p w14:paraId="116E86BA" w14:textId="77777777" w:rsidR="00A6450B" w:rsidRPr="00A6450B" w:rsidRDefault="00A6450B" w:rsidP="00A6450B">
            <w:pPr>
              <w:spacing w:before="150" w:after="0" w:line="240" w:lineRule="auto"/>
              <w:jc w:val="center"/>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lang w:eastAsia="ru-RU"/>
                <w14:ligatures w14:val="none"/>
              </w:rPr>
              <w:t>4</w:t>
            </w:r>
          </w:p>
        </w:tc>
      </w:tr>
    </w:tbl>
    <w:p w14:paraId="43C8BEB5" w14:textId="77777777" w:rsidR="00A6450B" w:rsidRPr="00A6450B" w:rsidRDefault="00A6450B" w:rsidP="00A6450B">
      <w:pPr>
        <w:spacing w:before="150" w:after="150" w:line="240" w:lineRule="auto"/>
        <w:rPr>
          <w:rFonts w:ascii="Times New Roman" w:eastAsia="Times New Roman" w:hAnsi="Times New Roman" w:cs="Times New Roman"/>
          <w:color w:val="333333"/>
          <w:kern w:val="0"/>
          <w:lang w:eastAsia="ru-RU"/>
          <w14:ligatures w14:val="none"/>
        </w:rPr>
      </w:pPr>
      <w:bookmarkStart w:id="317" w:name="n1190"/>
      <w:bookmarkEnd w:id="317"/>
      <w:r w:rsidRPr="00A6450B">
        <w:rPr>
          <w:rFonts w:ascii="Times New Roman" w:eastAsia="Times New Roman" w:hAnsi="Times New Roman" w:cs="Times New Roman"/>
          <w:color w:val="333333"/>
          <w:kern w:val="0"/>
          <w:sz w:val="20"/>
          <w:szCs w:val="20"/>
          <w:lang w:eastAsia="ru-RU"/>
          <w14:ligatures w14:val="none"/>
        </w:rPr>
        <w:t>__________</w:t>
      </w:r>
      <w:r w:rsidRPr="00A6450B">
        <w:rPr>
          <w:rFonts w:ascii="Times New Roman" w:eastAsia="Times New Roman" w:hAnsi="Times New Roman" w:cs="Times New Roman"/>
          <w:color w:val="333333"/>
          <w:kern w:val="0"/>
          <w:lang w:eastAsia="ru-RU"/>
          <w14:ligatures w14:val="none"/>
        </w:rPr>
        <w:br/>
      </w:r>
      <w:r w:rsidRPr="00A6450B">
        <w:rPr>
          <w:rFonts w:ascii="Times New Roman" w:eastAsia="Times New Roman" w:hAnsi="Times New Roman" w:cs="Times New Roman"/>
          <w:color w:val="333333"/>
          <w:kern w:val="0"/>
          <w:sz w:val="20"/>
          <w:szCs w:val="20"/>
          <w:lang w:eastAsia="ru-RU"/>
          <w14:ligatures w14:val="none"/>
        </w:rPr>
        <w:t>*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0749115B" w14:textId="77777777" w:rsidR="00A6450B" w:rsidRPr="00A6450B" w:rsidRDefault="00A6450B" w:rsidP="00A6450B">
      <w:pPr>
        <w:spacing w:after="150" w:line="240" w:lineRule="auto"/>
        <w:jc w:val="center"/>
        <w:rPr>
          <w:rFonts w:ascii="Times New Roman" w:eastAsia="Times New Roman" w:hAnsi="Times New Roman" w:cs="Times New Roman"/>
          <w:i/>
          <w:iCs/>
          <w:color w:val="999999"/>
          <w:kern w:val="0"/>
          <w:lang w:eastAsia="ru-RU"/>
          <w14:ligatures w14:val="none"/>
        </w:rPr>
      </w:pPr>
      <w:bookmarkStart w:id="318" w:name="n524"/>
      <w:bookmarkEnd w:id="318"/>
      <w:r w:rsidRPr="00A6450B">
        <w:rPr>
          <w:rFonts w:ascii="Times New Roman" w:eastAsia="Times New Roman" w:hAnsi="Times New Roman" w:cs="Times New Roman"/>
          <w:i/>
          <w:iCs/>
          <w:color w:val="999999"/>
          <w:kern w:val="0"/>
          <w:lang w:eastAsia="ru-RU"/>
          <w14:ligatures w14:val="none"/>
        </w:rPr>
        <w:t>{Додаток 1 в редакції Наказів Міністерства фінансів </w:t>
      </w:r>
      <w:hyperlink r:id="rId58" w:anchor="n6" w:tgtFrame="_blank" w:history="1">
        <w:r w:rsidRPr="00A6450B">
          <w:rPr>
            <w:rFonts w:ascii="Times New Roman" w:eastAsia="Times New Roman" w:hAnsi="Times New Roman" w:cs="Times New Roman"/>
            <w:i/>
            <w:iCs/>
            <w:color w:val="666666"/>
            <w:kern w:val="0"/>
            <w:u w:val="single"/>
            <w:lang w:eastAsia="ru-RU"/>
            <w14:ligatures w14:val="none"/>
          </w:rPr>
          <w:t>№ 723 від 04.08.2016</w:t>
        </w:r>
      </w:hyperlink>
      <w:r w:rsidRPr="00A6450B">
        <w:rPr>
          <w:rFonts w:ascii="Times New Roman" w:eastAsia="Times New Roman" w:hAnsi="Times New Roman" w:cs="Times New Roman"/>
          <w:i/>
          <w:iCs/>
          <w:color w:val="999999"/>
          <w:kern w:val="0"/>
          <w:lang w:eastAsia="ru-RU"/>
          <w14:ligatures w14:val="none"/>
        </w:rPr>
        <w:t>, </w:t>
      </w:r>
      <w:hyperlink r:id="rId59" w:anchor="n313" w:tgtFrame="_blank" w:history="1">
        <w:r w:rsidRPr="00A6450B">
          <w:rPr>
            <w:rFonts w:ascii="Times New Roman" w:eastAsia="Times New Roman" w:hAnsi="Times New Roman" w:cs="Times New Roman"/>
            <w:i/>
            <w:iCs/>
            <w:color w:val="666666"/>
            <w:kern w:val="0"/>
            <w:u w:val="single"/>
            <w:lang w:eastAsia="ru-RU"/>
            <w14:ligatures w14:val="none"/>
          </w:rPr>
          <w:t>№ 386 від 26.03.2018</w:t>
        </w:r>
      </w:hyperlink>
      <w:r w:rsidRPr="00A6450B">
        <w:rPr>
          <w:rFonts w:ascii="Times New Roman" w:eastAsia="Times New Roman" w:hAnsi="Times New Roman" w:cs="Times New Roman"/>
          <w:i/>
          <w:iCs/>
          <w:color w:val="999999"/>
          <w:kern w:val="0"/>
          <w:lang w:eastAsia="ru-RU"/>
          <w14:ligatures w14:val="none"/>
        </w:rPr>
        <w:t>, </w:t>
      </w:r>
      <w:hyperlink r:id="rId60" w:anchor="n2107" w:tgtFrame="_blank" w:history="1">
        <w:r w:rsidRPr="00A6450B">
          <w:rPr>
            <w:rFonts w:ascii="Times New Roman" w:eastAsia="Times New Roman" w:hAnsi="Times New Roman" w:cs="Times New Roman"/>
            <w:i/>
            <w:iCs/>
            <w:color w:val="666666"/>
            <w:kern w:val="0"/>
            <w:u w:val="single"/>
            <w:lang w:eastAsia="ru-RU"/>
            <w14:ligatures w14:val="none"/>
          </w:rPr>
          <w:t>548 від 07.09.2020</w:t>
        </w:r>
      </w:hyperlink>
      <w:r w:rsidRPr="00A6450B">
        <w:rPr>
          <w:rFonts w:ascii="Times New Roman" w:eastAsia="Times New Roman" w:hAnsi="Times New Roman" w:cs="Times New Roman"/>
          <w:i/>
          <w:iCs/>
          <w:color w:val="999999"/>
          <w:kern w:val="0"/>
          <w:lang w:eastAsia="ru-RU"/>
          <w14:ligatures w14:val="none"/>
        </w:rPr>
        <w:t>, </w:t>
      </w:r>
      <w:hyperlink r:id="rId61" w:anchor="n54" w:tgtFrame="_blank" w:history="1">
        <w:r w:rsidRPr="00A6450B">
          <w:rPr>
            <w:rFonts w:ascii="Times New Roman" w:eastAsia="Times New Roman" w:hAnsi="Times New Roman" w:cs="Times New Roman"/>
            <w:i/>
            <w:iCs/>
            <w:color w:val="666666"/>
            <w:kern w:val="0"/>
            <w:u w:val="single"/>
            <w:lang w:eastAsia="ru-RU"/>
            <w14:ligatures w14:val="none"/>
          </w:rPr>
          <w:t>№ 655 від 10.12.2021</w:t>
        </w:r>
      </w:hyperlink>
      <w:r w:rsidRPr="00A6450B">
        <w:rPr>
          <w:rFonts w:ascii="Times New Roman" w:eastAsia="Times New Roman" w:hAnsi="Times New Roman" w:cs="Times New Roman"/>
          <w:i/>
          <w:iCs/>
          <w:color w:val="999999"/>
          <w:kern w:val="0"/>
          <w:lang w:eastAsia="ru-RU"/>
          <w14:ligatures w14:val="none"/>
        </w:rPr>
        <w:t>}</w:t>
      </w:r>
    </w:p>
    <w:p w14:paraId="192B7D3E" w14:textId="77777777" w:rsidR="00A6450B" w:rsidRPr="00A6450B" w:rsidRDefault="009841F6" w:rsidP="00A6450B">
      <w:pPr>
        <w:spacing w:after="0" w:line="240" w:lineRule="auto"/>
        <w:rPr>
          <w:rFonts w:ascii="Times New Roman" w:eastAsia="Times New Roman" w:hAnsi="Times New Roman" w:cs="Times New Roman"/>
          <w:kern w:val="0"/>
          <w:lang w:eastAsia="ru-RU"/>
          <w14:ligatures w14:val="none"/>
        </w:rPr>
      </w:pPr>
      <w:r>
        <w:rPr>
          <w:rFonts w:ascii="Times New Roman" w:eastAsia="Times New Roman" w:hAnsi="Times New Roman" w:cs="Times New Roman"/>
          <w:noProof/>
          <w:kern w:val="0"/>
          <w:lang w:eastAsia="ru-RU"/>
        </w:rPr>
        <w:pict w14:anchorId="5C9C84DB">
          <v:rect id="_x0000_i1027" alt="" style="width:451.3pt;height:.05pt;mso-width-percent:0;mso-height-percent:0;mso-width-percent:0;mso-height-percent:0" o:hrstd="t" o:hrnoshade="t" o:hr="t" fillcolor="black" stroked="f"/>
        </w:pict>
      </w:r>
    </w:p>
    <w:p w14:paraId="34707B4E" w14:textId="77777777" w:rsidR="00A6450B" w:rsidRPr="00A6450B" w:rsidRDefault="00A6450B" w:rsidP="00A6450B">
      <w:pPr>
        <w:spacing w:after="0" w:line="240" w:lineRule="auto"/>
        <w:rPr>
          <w:rFonts w:ascii="Times New Roman" w:eastAsia="Times New Roman" w:hAnsi="Times New Roman" w:cs="Times New Roman"/>
          <w:kern w:val="0"/>
          <w:lang w:eastAsia="ru-RU"/>
          <w14:ligatures w14:val="none"/>
        </w:rPr>
      </w:pPr>
      <w:bookmarkStart w:id="319" w:name="n280"/>
      <w:bookmarkEnd w:id="319"/>
      <w:r w:rsidRPr="00A6450B">
        <w:rPr>
          <w:rFonts w:ascii="Times New Roman" w:eastAsia="Times New Roman" w:hAnsi="Times New Roman" w:cs="Times New Roman"/>
          <w:color w:val="333333"/>
          <w:kern w:val="0"/>
          <w:sz w:val="20"/>
          <w:szCs w:val="20"/>
          <w:lang w:eastAsia="ru-RU"/>
          <w14:ligatures w14:val="none"/>
        </w:rPr>
        <w:br/>
      </w:r>
    </w:p>
    <w:tbl>
      <w:tblPr>
        <w:tblW w:w="5000" w:type="pct"/>
        <w:tblCellMar>
          <w:left w:w="0" w:type="dxa"/>
          <w:right w:w="0" w:type="dxa"/>
        </w:tblCellMar>
        <w:tblLook w:val="04A0" w:firstRow="1" w:lastRow="0" w:firstColumn="1" w:lastColumn="0" w:noHBand="0" w:noVBand="1"/>
      </w:tblPr>
      <w:tblGrid>
        <w:gridCol w:w="4778"/>
        <w:gridCol w:w="4248"/>
      </w:tblGrid>
      <w:tr w:rsidR="00A6450B" w:rsidRPr="00A6450B" w14:paraId="0FA0258E" w14:textId="77777777" w:rsidTr="00A6450B">
        <w:tc>
          <w:tcPr>
            <w:tcW w:w="2250" w:type="pct"/>
            <w:hideMark/>
          </w:tcPr>
          <w:p w14:paraId="5A3739A0" w14:textId="77777777" w:rsidR="00A6450B" w:rsidRPr="00A6450B" w:rsidRDefault="00A6450B" w:rsidP="00A6450B">
            <w:pPr>
              <w:spacing w:before="150" w:after="150" w:line="240" w:lineRule="auto"/>
              <w:rPr>
                <w:rFonts w:ascii="Times New Roman" w:eastAsia="Times New Roman" w:hAnsi="Times New Roman" w:cs="Times New Roman"/>
                <w:kern w:val="0"/>
                <w:lang w:eastAsia="ru-RU"/>
                <w14:ligatures w14:val="none"/>
              </w:rPr>
            </w:pPr>
            <w:bookmarkStart w:id="320" w:name="n269"/>
            <w:bookmarkEnd w:id="320"/>
          </w:p>
        </w:tc>
        <w:tc>
          <w:tcPr>
            <w:tcW w:w="2000" w:type="pct"/>
            <w:hideMark/>
          </w:tcPr>
          <w:p w14:paraId="13AA843F" w14:textId="77777777" w:rsidR="00A6450B" w:rsidRPr="00A6450B" w:rsidRDefault="00A6450B" w:rsidP="00A6450B">
            <w:pPr>
              <w:spacing w:before="150" w:after="150" w:line="240" w:lineRule="auto"/>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lang w:eastAsia="ru-RU"/>
                <w14:ligatures w14:val="none"/>
              </w:rPr>
              <w:t>Додаток 2</w:t>
            </w:r>
            <w:r w:rsidRPr="00A6450B">
              <w:rPr>
                <w:rFonts w:ascii="Times New Roman" w:eastAsia="Times New Roman" w:hAnsi="Times New Roman" w:cs="Times New Roman"/>
                <w:kern w:val="0"/>
                <w:lang w:eastAsia="ru-RU"/>
                <w14:ligatures w14:val="none"/>
              </w:rPr>
              <w:br/>
              <w:t>до Порядку формування</w:t>
            </w:r>
            <w:r w:rsidRPr="00A6450B">
              <w:rPr>
                <w:rFonts w:ascii="Times New Roman" w:eastAsia="Times New Roman" w:hAnsi="Times New Roman" w:cs="Times New Roman"/>
                <w:kern w:val="0"/>
                <w:lang w:eastAsia="ru-RU"/>
                <w14:ligatures w14:val="none"/>
              </w:rPr>
              <w:br/>
              <w:t>плану-графіка проведення</w:t>
            </w:r>
            <w:r w:rsidRPr="00A6450B">
              <w:rPr>
                <w:rFonts w:ascii="Times New Roman" w:eastAsia="Times New Roman" w:hAnsi="Times New Roman" w:cs="Times New Roman"/>
                <w:kern w:val="0"/>
                <w:lang w:eastAsia="ru-RU"/>
                <w14:ligatures w14:val="none"/>
              </w:rPr>
              <w:br/>
              <w:t>документальних планових</w:t>
            </w:r>
            <w:r w:rsidRPr="00A6450B">
              <w:rPr>
                <w:rFonts w:ascii="Times New Roman" w:eastAsia="Times New Roman" w:hAnsi="Times New Roman" w:cs="Times New Roman"/>
                <w:kern w:val="0"/>
                <w:lang w:eastAsia="ru-RU"/>
                <w14:ligatures w14:val="none"/>
              </w:rPr>
              <w:br/>
              <w:t>перевірок платників податків</w:t>
            </w:r>
            <w:r w:rsidRPr="00A6450B">
              <w:rPr>
                <w:rFonts w:ascii="Times New Roman" w:eastAsia="Times New Roman" w:hAnsi="Times New Roman" w:cs="Times New Roman"/>
                <w:kern w:val="0"/>
                <w:lang w:eastAsia="ru-RU"/>
                <w14:ligatures w14:val="none"/>
              </w:rPr>
              <w:br/>
              <w:t>(пункт 1 розділу II)</w:t>
            </w:r>
          </w:p>
        </w:tc>
      </w:tr>
    </w:tbl>
    <w:p w14:paraId="0DCD62B3" w14:textId="77777777" w:rsidR="00A6450B" w:rsidRPr="00A6450B" w:rsidRDefault="00A6450B" w:rsidP="00A6450B">
      <w:pPr>
        <w:spacing w:before="150" w:after="150" w:line="240" w:lineRule="auto"/>
        <w:ind w:left="450" w:right="450"/>
        <w:jc w:val="center"/>
        <w:rPr>
          <w:rFonts w:ascii="Times New Roman" w:eastAsia="Times New Roman" w:hAnsi="Times New Roman" w:cs="Times New Roman"/>
          <w:color w:val="333333"/>
          <w:kern w:val="0"/>
          <w:lang w:eastAsia="ru-RU"/>
          <w14:ligatures w14:val="none"/>
        </w:rPr>
      </w:pPr>
      <w:bookmarkStart w:id="321" w:name="n1191"/>
      <w:bookmarkEnd w:id="321"/>
      <w:r w:rsidRPr="00A6450B">
        <w:rPr>
          <w:rFonts w:ascii="Times New Roman" w:eastAsia="Times New Roman" w:hAnsi="Times New Roman" w:cs="Times New Roman"/>
          <w:b/>
          <w:bCs/>
          <w:color w:val="333333"/>
          <w:kern w:val="0"/>
          <w:sz w:val="28"/>
          <w:szCs w:val="28"/>
          <w:lang w:eastAsia="ru-RU"/>
          <w14:ligatures w14:val="none"/>
        </w:rPr>
        <w:t>КОРИГУВАННЯ </w:t>
      </w:r>
      <w:r w:rsidRPr="00A6450B">
        <w:rPr>
          <w:rFonts w:ascii="Times New Roman" w:eastAsia="Times New Roman" w:hAnsi="Times New Roman" w:cs="Times New Roman"/>
          <w:color w:val="333333"/>
          <w:kern w:val="0"/>
          <w:lang w:eastAsia="ru-RU"/>
          <w14:ligatures w14:val="none"/>
        </w:rPr>
        <w:br/>
      </w:r>
      <w:r w:rsidRPr="00A6450B">
        <w:rPr>
          <w:rFonts w:ascii="Times New Roman" w:eastAsia="Times New Roman" w:hAnsi="Times New Roman" w:cs="Times New Roman"/>
          <w:b/>
          <w:bCs/>
          <w:color w:val="333333"/>
          <w:kern w:val="0"/>
          <w:sz w:val="28"/>
          <w:szCs w:val="28"/>
          <w:lang w:eastAsia="ru-RU"/>
          <w14:ligatures w14:val="none"/>
        </w:rPr>
        <w:t>плану-графіка проведення документальних планових перевірок платників податків </w:t>
      </w:r>
      <w:r w:rsidRPr="00A6450B">
        <w:rPr>
          <w:rFonts w:ascii="Times New Roman" w:eastAsia="Times New Roman" w:hAnsi="Times New Roman" w:cs="Times New Roman"/>
          <w:color w:val="333333"/>
          <w:kern w:val="0"/>
          <w:lang w:eastAsia="ru-RU"/>
          <w14:ligatures w14:val="none"/>
        </w:rPr>
        <w:br/>
      </w:r>
      <w:r w:rsidRPr="00A6450B">
        <w:rPr>
          <w:rFonts w:ascii="Times New Roman" w:eastAsia="Times New Roman" w:hAnsi="Times New Roman" w:cs="Times New Roman"/>
          <w:b/>
          <w:bCs/>
          <w:color w:val="333333"/>
          <w:kern w:val="0"/>
          <w:sz w:val="28"/>
          <w:szCs w:val="28"/>
          <w:lang w:eastAsia="ru-RU"/>
          <w14:ligatures w14:val="none"/>
        </w:rPr>
        <w:t>у ________________ 20___ року</w:t>
      </w:r>
    </w:p>
    <w:p w14:paraId="1B5023A7" w14:textId="77777777" w:rsidR="00A6450B" w:rsidRPr="00A6450B" w:rsidRDefault="00A6450B" w:rsidP="00A6450B">
      <w:pPr>
        <w:spacing w:before="150" w:after="150" w:line="240" w:lineRule="auto"/>
        <w:rPr>
          <w:rFonts w:ascii="Times New Roman" w:eastAsia="Times New Roman" w:hAnsi="Times New Roman" w:cs="Times New Roman"/>
          <w:color w:val="333333"/>
          <w:kern w:val="0"/>
          <w:lang w:eastAsia="ru-RU"/>
          <w14:ligatures w14:val="none"/>
        </w:rPr>
      </w:pPr>
      <w:bookmarkStart w:id="322" w:name="n1198"/>
      <w:bookmarkEnd w:id="322"/>
      <w:r w:rsidRPr="00A6450B">
        <w:rPr>
          <w:rFonts w:ascii="Times New Roman" w:eastAsia="Times New Roman" w:hAnsi="Times New Roman" w:cs="Times New Roman"/>
          <w:b/>
          <w:bCs/>
          <w:color w:val="333333"/>
          <w:kern w:val="0"/>
          <w:lang w:eastAsia="ru-RU"/>
          <w14:ligatures w14:val="none"/>
        </w:rPr>
        <w:t>Тип коригування: включення (виключення) до (з) плану-графіка</w:t>
      </w:r>
    </w:p>
    <w:tbl>
      <w:tblPr>
        <w:tblW w:w="5000" w:type="pct"/>
        <w:tblCellMar>
          <w:top w:w="20" w:type="dxa"/>
          <w:left w:w="20" w:type="dxa"/>
          <w:bottom w:w="20" w:type="dxa"/>
          <w:right w:w="20" w:type="dxa"/>
        </w:tblCellMar>
        <w:tblLook w:val="04A0" w:firstRow="1" w:lastRow="0" w:firstColumn="1" w:lastColumn="0" w:noHBand="0" w:noVBand="1"/>
      </w:tblPr>
      <w:tblGrid>
        <w:gridCol w:w="2192"/>
        <w:gridCol w:w="2120"/>
        <w:gridCol w:w="1214"/>
        <w:gridCol w:w="1618"/>
        <w:gridCol w:w="1866"/>
      </w:tblGrid>
      <w:tr w:rsidR="00A6450B" w:rsidRPr="00A6450B" w14:paraId="54C7DB88" w14:textId="77777777" w:rsidTr="00A6450B">
        <w:trPr>
          <w:trHeight w:val="160"/>
        </w:trPr>
        <w:tc>
          <w:tcPr>
            <w:tcW w:w="3000" w:type="dxa"/>
            <w:tcBorders>
              <w:top w:val="single" w:sz="6" w:space="0" w:color="000000"/>
              <w:left w:val="single" w:sz="6" w:space="0" w:color="000000"/>
              <w:bottom w:val="single" w:sz="6" w:space="0" w:color="000000"/>
              <w:right w:val="single" w:sz="6" w:space="0" w:color="000000"/>
            </w:tcBorders>
            <w:hideMark/>
          </w:tcPr>
          <w:p w14:paraId="6C74811A" w14:textId="77777777" w:rsidR="00A6450B" w:rsidRPr="00A6450B" w:rsidRDefault="00A6450B" w:rsidP="00A6450B">
            <w:pPr>
              <w:spacing w:before="150" w:after="150" w:line="240" w:lineRule="auto"/>
              <w:jc w:val="center"/>
              <w:rPr>
                <w:rFonts w:ascii="Times New Roman" w:eastAsia="Times New Roman" w:hAnsi="Times New Roman" w:cs="Times New Roman"/>
                <w:kern w:val="0"/>
                <w:lang w:eastAsia="ru-RU"/>
                <w14:ligatures w14:val="none"/>
              </w:rPr>
            </w:pPr>
            <w:bookmarkStart w:id="323" w:name="n1196"/>
            <w:bookmarkEnd w:id="323"/>
            <w:r w:rsidRPr="00A6450B">
              <w:rPr>
                <w:rFonts w:ascii="Times New Roman" w:eastAsia="Times New Roman" w:hAnsi="Times New Roman" w:cs="Times New Roman"/>
                <w:kern w:val="0"/>
                <w:sz w:val="20"/>
                <w:szCs w:val="20"/>
                <w:lang w:eastAsia="ru-RU"/>
                <w14:ligatures w14:val="none"/>
              </w:rPr>
              <w:t>Код за ЄДРПОУ чи реєстраційний номер облікової картки платника податків або серія (за наявності) та номер паспорта*</w:t>
            </w:r>
          </w:p>
        </w:tc>
        <w:tc>
          <w:tcPr>
            <w:tcW w:w="2880" w:type="dxa"/>
            <w:tcBorders>
              <w:top w:val="single" w:sz="6" w:space="0" w:color="auto"/>
              <w:left w:val="nil"/>
              <w:bottom w:val="single" w:sz="6" w:space="0" w:color="auto"/>
              <w:right w:val="single" w:sz="6" w:space="0" w:color="auto"/>
            </w:tcBorders>
            <w:hideMark/>
          </w:tcPr>
          <w:p w14:paraId="4C89AE91" w14:textId="77777777" w:rsidR="00A6450B" w:rsidRPr="00A6450B" w:rsidRDefault="00A6450B" w:rsidP="00A6450B">
            <w:pPr>
              <w:spacing w:before="150" w:after="150" w:line="240" w:lineRule="auto"/>
              <w:jc w:val="center"/>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sz w:val="20"/>
                <w:szCs w:val="20"/>
                <w:lang w:eastAsia="ru-RU"/>
                <w14:ligatures w14:val="none"/>
              </w:rPr>
              <w:t>Повне найменування платника податків (прізвище, ім’я, по батькові (за наявності)) платника податків - фізичної особи)</w:t>
            </w:r>
          </w:p>
        </w:tc>
        <w:tc>
          <w:tcPr>
            <w:tcW w:w="1410" w:type="dxa"/>
            <w:tcBorders>
              <w:top w:val="single" w:sz="6" w:space="0" w:color="auto"/>
              <w:left w:val="nil"/>
              <w:bottom w:val="single" w:sz="6" w:space="0" w:color="auto"/>
              <w:right w:val="single" w:sz="6" w:space="0" w:color="auto"/>
            </w:tcBorders>
            <w:hideMark/>
          </w:tcPr>
          <w:p w14:paraId="58FACEB6" w14:textId="77777777" w:rsidR="00A6450B" w:rsidRPr="00A6450B" w:rsidRDefault="00A6450B" w:rsidP="00A6450B">
            <w:pPr>
              <w:spacing w:before="150" w:after="150" w:line="240" w:lineRule="auto"/>
              <w:jc w:val="center"/>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sz w:val="20"/>
                <w:szCs w:val="20"/>
                <w:lang w:eastAsia="ru-RU"/>
                <w14:ligatures w14:val="none"/>
              </w:rPr>
              <w:t>Код розділу, підрозділу, групи</w:t>
            </w:r>
          </w:p>
        </w:tc>
        <w:tc>
          <w:tcPr>
            <w:tcW w:w="1875" w:type="dxa"/>
            <w:tcBorders>
              <w:top w:val="single" w:sz="6" w:space="0" w:color="auto"/>
              <w:left w:val="nil"/>
              <w:bottom w:val="single" w:sz="6" w:space="0" w:color="auto"/>
              <w:right w:val="single" w:sz="6" w:space="0" w:color="auto"/>
            </w:tcBorders>
            <w:hideMark/>
          </w:tcPr>
          <w:p w14:paraId="28D8F462" w14:textId="77777777" w:rsidR="00A6450B" w:rsidRPr="00A6450B" w:rsidRDefault="00A6450B" w:rsidP="00A6450B">
            <w:pPr>
              <w:spacing w:before="150" w:after="150" w:line="240" w:lineRule="auto"/>
              <w:jc w:val="center"/>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sz w:val="20"/>
                <w:szCs w:val="20"/>
                <w:lang w:eastAsia="ru-RU"/>
                <w14:ligatures w14:val="none"/>
              </w:rPr>
              <w:t>Запланована документальна перевірка,</w:t>
            </w:r>
            <w:r w:rsidRPr="00A6450B">
              <w:rPr>
                <w:rFonts w:ascii="Times New Roman" w:eastAsia="Times New Roman" w:hAnsi="Times New Roman" w:cs="Times New Roman"/>
                <w:kern w:val="0"/>
                <w:lang w:eastAsia="ru-RU"/>
                <w14:ligatures w14:val="none"/>
              </w:rPr>
              <w:br/>
            </w:r>
            <w:r w:rsidRPr="00A6450B">
              <w:rPr>
                <w:rFonts w:ascii="Times New Roman" w:eastAsia="Times New Roman" w:hAnsi="Times New Roman" w:cs="Times New Roman"/>
                <w:kern w:val="0"/>
                <w:sz w:val="20"/>
                <w:szCs w:val="20"/>
                <w:lang w:eastAsia="ru-RU"/>
                <w14:ligatures w14:val="none"/>
              </w:rPr>
              <w:t>місяць початку</w:t>
            </w:r>
          </w:p>
        </w:tc>
        <w:tc>
          <w:tcPr>
            <w:tcW w:w="2325" w:type="dxa"/>
            <w:tcBorders>
              <w:top w:val="single" w:sz="6" w:space="0" w:color="auto"/>
              <w:left w:val="nil"/>
              <w:bottom w:val="single" w:sz="6" w:space="0" w:color="auto"/>
              <w:right w:val="single" w:sz="6" w:space="0" w:color="auto"/>
            </w:tcBorders>
            <w:hideMark/>
          </w:tcPr>
          <w:p w14:paraId="26242C65" w14:textId="77777777" w:rsidR="00A6450B" w:rsidRPr="00A6450B" w:rsidRDefault="00A6450B" w:rsidP="00A6450B">
            <w:pPr>
              <w:spacing w:before="150" w:after="150" w:line="240" w:lineRule="auto"/>
              <w:jc w:val="center"/>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sz w:val="20"/>
                <w:szCs w:val="20"/>
                <w:lang w:eastAsia="ru-RU"/>
                <w14:ligatures w14:val="none"/>
              </w:rPr>
              <w:t>Довідково:</w:t>
            </w:r>
            <w:r w:rsidRPr="00A6450B">
              <w:rPr>
                <w:rFonts w:ascii="Times New Roman" w:eastAsia="Times New Roman" w:hAnsi="Times New Roman" w:cs="Times New Roman"/>
                <w:kern w:val="0"/>
                <w:lang w:eastAsia="ru-RU"/>
                <w14:ligatures w14:val="none"/>
              </w:rPr>
              <w:br/>
            </w:r>
            <w:r w:rsidRPr="00A6450B">
              <w:rPr>
                <w:rFonts w:ascii="Times New Roman" w:eastAsia="Times New Roman" w:hAnsi="Times New Roman" w:cs="Times New Roman"/>
                <w:kern w:val="0"/>
                <w:sz w:val="20"/>
                <w:szCs w:val="20"/>
                <w:lang w:eastAsia="ru-RU"/>
                <w14:ligatures w14:val="none"/>
              </w:rPr>
              <w:t>причина включення (виключення) до (з) плану-графіка, реквізити документів, що підтверджують причини проведення коригування</w:t>
            </w:r>
          </w:p>
        </w:tc>
      </w:tr>
      <w:tr w:rsidR="00A6450B" w:rsidRPr="00A6450B" w14:paraId="5B9251C0" w14:textId="77777777" w:rsidTr="00A6450B">
        <w:trPr>
          <w:trHeight w:val="160"/>
        </w:trPr>
        <w:tc>
          <w:tcPr>
            <w:tcW w:w="3000" w:type="dxa"/>
            <w:tcBorders>
              <w:top w:val="nil"/>
              <w:left w:val="single" w:sz="6" w:space="0" w:color="auto"/>
              <w:bottom w:val="single" w:sz="6" w:space="0" w:color="auto"/>
              <w:right w:val="single" w:sz="6" w:space="0" w:color="auto"/>
            </w:tcBorders>
            <w:hideMark/>
          </w:tcPr>
          <w:p w14:paraId="123DDD21" w14:textId="77777777" w:rsidR="00A6450B" w:rsidRPr="00A6450B" w:rsidRDefault="00A6450B" w:rsidP="00A6450B">
            <w:pPr>
              <w:spacing w:before="150" w:after="150" w:line="240" w:lineRule="auto"/>
              <w:jc w:val="center"/>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sz w:val="20"/>
                <w:szCs w:val="20"/>
                <w:lang w:eastAsia="ru-RU"/>
                <w14:ligatures w14:val="none"/>
              </w:rPr>
              <w:t>1</w:t>
            </w:r>
          </w:p>
        </w:tc>
        <w:tc>
          <w:tcPr>
            <w:tcW w:w="2880" w:type="dxa"/>
            <w:tcBorders>
              <w:top w:val="nil"/>
              <w:left w:val="nil"/>
              <w:bottom w:val="single" w:sz="6" w:space="0" w:color="auto"/>
              <w:right w:val="single" w:sz="6" w:space="0" w:color="auto"/>
            </w:tcBorders>
            <w:hideMark/>
          </w:tcPr>
          <w:p w14:paraId="6A5903F7" w14:textId="77777777" w:rsidR="00A6450B" w:rsidRPr="00A6450B" w:rsidRDefault="00A6450B" w:rsidP="00A6450B">
            <w:pPr>
              <w:spacing w:before="150" w:after="150" w:line="240" w:lineRule="auto"/>
              <w:jc w:val="center"/>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sz w:val="20"/>
                <w:szCs w:val="20"/>
                <w:lang w:eastAsia="ru-RU"/>
                <w14:ligatures w14:val="none"/>
              </w:rPr>
              <w:t>2</w:t>
            </w:r>
          </w:p>
        </w:tc>
        <w:tc>
          <w:tcPr>
            <w:tcW w:w="1410" w:type="dxa"/>
            <w:tcBorders>
              <w:top w:val="nil"/>
              <w:left w:val="nil"/>
              <w:bottom w:val="single" w:sz="6" w:space="0" w:color="auto"/>
              <w:right w:val="single" w:sz="6" w:space="0" w:color="auto"/>
            </w:tcBorders>
            <w:hideMark/>
          </w:tcPr>
          <w:p w14:paraId="73FA17C8" w14:textId="77777777" w:rsidR="00A6450B" w:rsidRPr="00A6450B" w:rsidRDefault="00A6450B" w:rsidP="00A6450B">
            <w:pPr>
              <w:spacing w:before="150" w:after="150" w:line="240" w:lineRule="auto"/>
              <w:jc w:val="center"/>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sz w:val="20"/>
                <w:szCs w:val="20"/>
                <w:lang w:eastAsia="ru-RU"/>
                <w14:ligatures w14:val="none"/>
              </w:rPr>
              <w:t>3</w:t>
            </w:r>
          </w:p>
        </w:tc>
        <w:tc>
          <w:tcPr>
            <w:tcW w:w="1875" w:type="dxa"/>
            <w:tcBorders>
              <w:top w:val="nil"/>
              <w:left w:val="nil"/>
              <w:bottom w:val="single" w:sz="6" w:space="0" w:color="auto"/>
              <w:right w:val="single" w:sz="6" w:space="0" w:color="auto"/>
            </w:tcBorders>
            <w:hideMark/>
          </w:tcPr>
          <w:p w14:paraId="5C6F59ED" w14:textId="77777777" w:rsidR="00A6450B" w:rsidRPr="00A6450B" w:rsidRDefault="00A6450B" w:rsidP="00A6450B">
            <w:pPr>
              <w:spacing w:before="150" w:after="150" w:line="240" w:lineRule="auto"/>
              <w:jc w:val="center"/>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sz w:val="20"/>
                <w:szCs w:val="20"/>
                <w:lang w:eastAsia="ru-RU"/>
                <w14:ligatures w14:val="none"/>
              </w:rPr>
              <w:t>4</w:t>
            </w:r>
          </w:p>
        </w:tc>
        <w:tc>
          <w:tcPr>
            <w:tcW w:w="2325" w:type="dxa"/>
            <w:tcBorders>
              <w:top w:val="nil"/>
              <w:left w:val="nil"/>
              <w:bottom w:val="single" w:sz="6" w:space="0" w:color="auto"/>
              <w:right w:val="single" w:sz="6" w:space="0" w:color="auto"/>
            </w:tcBorders>
            <w:hideMark/>
          </w:tcPr>
          <w:p w14:paraId="36D9C61F" w14:textId="77777777" w:rsidR="00A6450B" w:rsidRPr="00A6450B" w:rsidRDefault="00A6450B" w:rsidP="00A6450B">
            <w:pPr>
              <w:spacing w:before="150" w:after="150" w:line="240" w:lineRule="auto"/>
              <w:jc w:val="center"/>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sz w:val="20"/>
                <w:szCs w:val="20"/>
                <w:lang w:eastAsia="ru-RU"/>
                <w14:ligatures w14:val="none"/>
              </w:rPr>
              <w:t>5</w:t>
            </w:r>
          </w:p>
        </w:tc>
      </w:tr>
    </w:tbl>
    <w:p w14:paraId="17571F53" w14:textId="77777777" w:rsidR="00A6450B" w:rsidRPr="00A6450B" w:rsidRDefault="00A6450B" w:rsidP="00A6450B">
      <w:pPr>
        <w:spacing w:before="150" w:after="150" w:line="240" w:lineRule="auto"/>
        <w:rPr>
          <w:rFonts w:ascii="Times New Roman" w:eastAsia="Times New Roman" w:hAnsi="Times New Roman" w:cs="Times New Roman"/>
          <w:color w:val="333333"/>
          <w:kern w:val="0"/>
          <w:lang w:eastAsia="ru-RU"/>
          <w14:ligatures w14:val="none"/>
        </w:rPr>
      </w:pPr>
      <w:bookmarkStart w:id="324" w:name="n1195"/>
      <w:bookmarkEnd w:id="324"/>
      <w:r w:rsidRPr="00A6450B">
        <w:rPr>
          <w:rFonts w:ascii="Times New Roman" w:eastAsia="Times New Roman" w:hAnsi="Times New Roman" w:cs="Times New Roman"/>
          <w:color w:val="333333"/>
          <w:kern w:val="0"/>
          <w:sz w:val="20"/>
          <w:szCs w:val="20"/>
          <w:lang w:eastAsia="ru-RU"/>
          <w14:ligatures w14:val="none"/>
        </w:rPr>
        <w:t>__________</w:t>
      </w:r>
      <w:r w:rsidRPr="00A6450B">
        <w:rPr>
          <w:rFonts w:ascii="Times New Roman" w:eastAsia="Times New Roman" w:hAnsi="Times New Roman" w:cs="Times New Roman"/>
          <w:color w:val="333333"/>
          <w:kern w:val="0"/>
          <w:lang w:eastAsia="ru-RU"/>
          <w14:ligatures w14:val="none"/>
        </w:rPr>
        <w:br/>
      </w:r>
      <w:r w:rsidRPr="00A6450B">
        <w:rPr>
          <w:rFonts w:ascii="Times New Roman" w:eastAsia="Times New Roman" w:hAnsi="Times New Roman" w:cs="Times New Roman"/>
          <w:color w:val="333333"/>
          <w:kern w:val="0"/>
          <w:sz w:val="20"/>
          <w:szCs w:val="20"/>
          <w:lang w:eastAsia="ru-RU"/>
          <w14:ligatures w14:val="none"/>
        </w:rPr>
        <w:t>*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04596E33" w14:textId="77777777" w:rsidR="00A6450B" w:rsidRPr="00A6450B" w:rsidRDefault="00A6450B" w:rsidP="00A6450B">
      <w:pPr>
        <w:spacing w:after="150" w:line="240" w:lineRule="auto"/>
        <w:jc w:val="center"/>
        <w:rPr>
          <w:rFonts w:ascii="Times New Roman" w:eastAsia="Times New Roman" w:hAnsi="Times New Roman" w:cs="Times New Roman"/>
          <w:i/>
          <w:iCs/>
          <w:color w:val="999999"/>
          <w:kern w:val="0"/>
          <w:lang w:eastAsia="ru-RU"/>
          <w14:ligatures w14:val="none"/>
        </w:rPr>
      </w:pPr>
      <w:bookmarkStart w:id="325" w:name="n526"/>
      <w:bookmarkEnd w:id="325"/>
      <w:r w:rsidRPr="00A6450B">
        <w:rPr>
          <w:rFonts w:ascii="Times New Roman" w:eastAsia="Times New Roman" w:hAnsi="Times New Roman" w:cs="Times New Roman"/>
          <w:i/>
          <w:iCs/>
          <w:color w:val="999999"/>
          <w:kern w:val="0"/>
          <w:lang w:eastAsia="ru-RU"/>
          <w14:ligatures w14:val="none"/>
        </w:rPr>
        <w:t>{Додаток 2 в редакції Наказів Міністерства фінансів </w:t>
      </w:r>
      <w:hyperlink r:id="rId62" w:anchor="n6" w:tgtFrame="_blank" w:history="1">
        <w:r w:rsidRPr="00A6450B">
          <w:rPr>
            <w:rFonts w:ascii="Times New Roman" w:eastAsia="Times New Roman" w:hAnsi="Times New Roman" w:cs="Times New Roman"/>
            <w:i/>
            <w:iCs/>
            <w:color w:val="666666"/>
            <w:kern w:val="0"/>
            <w:u w:val="single"/>
            <w:lang w:eastAsia="ru-RU"/>
            <w14:ligatures w14:val="none"/>
          </w:rPr>
          <w:t>№ 723 від 04.08.2016</w:t>
        </w:r>
      </w:hyperlink>
      <w:r w:rsidRPr="00A6450B">
        <w:rPr>
          <w:rFonts w:ascii="Times New Roman" w:eastAsia="Times New Roman" w:hAnsi="Times New Roman" w:cs="Times New Roman"/>
          <w:i/>
          <w:iCs/>
          <w:color w:val="999999"/>
          <w:kern w:val="0"/>
          <w:lang w:eastAsia="ru-RU"/>
          <w14:ligatures w14:val="none"/>
        </w:rPr>
        <w:t>, </w:t>
      </w:r>
      <w:hyperlink r:id="rId63" w:anchor="n317" w:tgtFrame="_blank" w:history="1">
        <w:r w:rsidRPr="00A6450B">
          <w:rPr>
            <w:rFonts w:ascii="Times New Roman" w:eastAsia="Times New Roman" w:hAnsi="Times New Roman" w:cs="Times New Roman"/>
            <w:i/>
            <w:iCs/>
            <w:color w:val="666666"/>
            <w:kern w:val="0"/>
            <w:u w:val="single"/>
            <w:lang w:eastAsia="ru-RU"/>
            <w14:ligatures w14:val="none"/>
          </w:rPr>
          <w:t>№ 386 від 26.03.2018</w:t>
        </w:r>
      </w:hyperlink>
      <w:r w:rsidRPr="00A6450B">
        <w:rPr>
          <w:rFonts w:ascii="Times New Roman" w:eastAsia="Times New Roman" w:hAnsi="Times New Roman" w:cs="Times New Roman"/>
          <w:i/>
          <w:iCs/>
          <w:color w:val="999999"/>
          <w:kern w:val="0"/>
          <w:lang w:eastAsia="ru-RU"/>
          <w14:ligatures w14:val="none"/>
        </w:rPr>
        <w:t>, </w:t>
      </w:r>
      <w:hyperlink r:id="rId64" w:anchor="n2107" w:tgtFrame="_blank" w:history="1">
        <w:r w:rsidRPr="00A6450B">
          <w:rPr>
            <w:rFonts w:ascii="Times New Roman" w:eastAsia="Times New Roman" w:hAnsi="Times New Roman" w:cs="Times New Roman"/>
            <w:i/>
            <w:iCs/>
            <w:color w:val="666666"/>
            <w:kern w:val="0"/>
            <w:u w:val="single"/>
            <w:lang w:eastAsia="ru-RU"/>
            <w14:ligatures w14:val="none"/>
          </w:rPr>
          <w:t>548 від 07.09.2020</w:t>
        </w:r>
      </w:hyperlink>
      <w:r w:rsidRPr="00A6450B">
        <w:rPr>
          <w:rFonts w:ascii="Times New Roman" w:eastAsia="Times New Roman" w:hAnsi="Times New Roman" w:cs="Times New Roman"/>
          <w:i/>
          <w:iCs/>
          <w:color w:val="999999"/>
          <w:kern w:val="0"/>
          <w:lang w:eastAsia="ru-RU"/>
          <w14:ligatures w14:val="none"/>
        </w:rPr>
        <w:t>, </w:t>
      </w:r>
      <w:hyperlink r:id="rId65" w:anchor="n54" w:tgtFrame="_blank" w:history="1">
        <w:r w:rsidRPr="00A6450B">
          <w:rPr>
            <w:rFonts w:ascii="Times New Roman" w:eastAsia="Times New Roman" w:hAnsi="Times New Roman" w:cs="Times New Roman"/>
            <w:i/>
            <w:iCs/>
            <w:color w:val="666666"/>
            <w:kern w:val="0"/>
            <w:u w:val="single"/>
            <w:lang w:eastAsia="ru-RU"/>
            <w14:ligatures w14:val="none"/>
          </w:rPr>
          <w:t>№ 655 від 10.12.2021</w:t>
        </w:r>
      </w:hyperlink>
      <w:r w:rsidRPr="00A6450B">
        <w:rPr>
          <w:rFonts w:ascii="Times New Roman" w:eastAsia="Times New Roman" w:hAnsi="Times New Roman" w:cs="Times New Roman"/>
          <w:i/>
          <w:iCs/>
          <w:color w:val="999999"/>
          <w:kern w:val="0"/>
          <w:lang w:eastAsia="ru-RU"/>
          <w14:ligatures w14:val="none"/>
        </w:rPr>
        <w:t>}</w:t>
      </w:r>
    </w:p>
    <w:p w14:paraId="75E55318" w14:textId="77777777" w:rsidR="00A6450B" w:rsidRPr="00A6450B" w:rsidRDefault="009841F6" w:rsidP="00A6450B">
      <w:pPr>
        <w:spacing w:after="0" w:line="240" w:lineRule="auto"/>
        <w:rPr>
          <w:rFonts w:ascii="Times New Roman" w:eastAsia="Times New Roman" w:hAnsi="Times New Roman" w:cs="Times New Roman"/>
          <w:kern w:val="0"/>
          <w:lang w:eastAsia="ru-RU"/>
          <w14:ligatures w14:val="none"/>
        </w:rPr>
      </w:pPr>
      <w:r>
        <w:rPr>
          <w:rFonts w:ascii="Times New Roman" w:eastAsia="Times New Roman" w:hAnsi="Times New Roman" w:cs="Times New Roman"/>
          <w:noProof/>
          <w:kern w:val="0"/>
          <w:lang w:eastAsia="ru-RU"/>
        </w:rPr>
        <w:pict w14:anchorId="7BA1AD8E">
          <v:rect id="_x0000_i1028" alt="" style="width:451.3pt;height:.05pt;mso-width-percent:0;mso-height-percent:0;mso-width-percent:0;mso-height-percent:0" o:hrstd="t" o:hrnoshade="t" o:hr="t" fillcolor="black" stroked="f"/>
        </w:pict>
      </w:r>
    </w:p>
    <w:tbl>
      <w:tblPr>
        <w:tblW w:w="5000" w:type="pct"/>
        <w:tblCellMar>
          <w:left w:w="0" w:type="dxa"/>
          <w:right w:w="0" w:type="dxa"/>
        </w:tblCellMar>
        <w:tblLook w:val="04A0" w:firstRow="1" w:lastRow="0" w:firstColumn="1" w:lastColumn="0" w:noHBand="0" w:noVBand="1"/>
      </w:tblPr>
      <w:tblGrid>
        <w:gridCol w:w="4778"/>
        <w:gridCol w:w="4248"/>
      </w:tblGrid>
      <w:tr w:rsidR="00A6450B" w:rsidRPr="00A6450B" w14:paraId="7FB0D77B" w14:textId="77777777" w:rsidTr="00A6450B">
        <w:tc>
          <w:tcPr>
            <w:tcW w:w="2250" w:type="pct"/>
            <w:hideMark/>
          </w:tcPr>
          <w:p w14:paraId="79B1C53D" w14:textId="77777777" w:rsidR="00A6450B" w:rsidRPr="00A6450B" w:rsidRDefault="00A6450B" w:rsidP="00A6450B">
            <w:pPr>
              <w:spacing w:before="150" w:after="150" w:line="240" w:lineRule="auto"/>
              <w:rPr>
                <w:rFonts w:ascii="Times New Roman" w:eastAsia="Times New Roman" w:hAnsi="Times New Roman" w:cs="Times New Roman"/>
                <w:kern w:val="0"/>
                <w:lang w:eastAsia="ru-RU"/>
                <w14:ligatures w14:val="none"/>
              </w:rPr>
            </w:pPr>
            <w:bookmarkStart w:id="326" w:name="n281"/>
            <w:bookmarkStart w:id="327" w:name="n273"/>
            <w:bookmarkEnd w:id="326"/>
            <w:bookmarkEnd w:id="327"/>
          </w:p>
        </w:tc>
        <w:tc>
          <w:tcPr>
            <w:tcW w:w="2000" w:type="pct"/>
            <w:hideMark/>
          </w:tcPr>
          <w:p w14:paraId="33E8A93A" w14:textId="77777777" w:rsidR="00A6450B" w:rsidRPr="00A6450B" w:rsidRDefault="00A6450B" w:rsidP="00A6450B">
            <w:pPr>
              <w:spacing w:before="150" w:after="150" w:line="240" w:lineRule="auto"/>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lang w:eastAsia="ru-RU"/>
                <w14:ligatures w14:val="none"/>
              </w:rPr>
              <w:t>Додаток 3</w:t>
            </w:r>
            <w:r w:rsidRPr="00A6450B">
              <w:rPr>
                <w:rFonts w:ascii="Times New Roman" w:eastAsia="Times New Roman" w:hAnsi="Times New Roman" w:cs="Times New Roman"/>
                <w:kern w:val="0"/>
                <w:lang w:eastAsia="ru-RU"/>
                <w14:ligatures w14:val="none"/>
              </w:rPr>
              <w:br/>
              <w:t>до Порядку формування</w:t>
            </w:r>
            <w:r w:rsidRPr="00A6450B">
              <w:rPr>
                <w:rFonts w:ascii="Times New Roman" w:eastAsia="Times New Roman" w:hAnsi="Times New Roman" w:cs="Times New Roman"/>
                <w:kern w:val="0"/>
                <w:lang w:eastAsia="ru-RU"/>
                <w14:ligatures w14:val="none"/>
              </w:rPr>
              <w:br/>
              <w:t>плану-графіка проведення</w:t>
            </w:r>
            <w:r w:rsidRPr="00A6450B">
              <w:rPr>
                <w:rFonts w:ascii="Times New Roman" w:eastAsia="Times New Roman" w:hAnsi="Times New Roman" w:cs="Times New Roman"/>
                <w:kern w:val="0"/>
                <w:lang w:eastAsia="ru-RU"/>
                <w14:ligatures w14:val="none"/>
              </w:rPr>
              <w:br/>
              <w:t>документальних планових</w:t>
            </w:r>
            <w:r w:rsidRPr="00A6450B">
              <w:rPr>
                <w:rFonts w:ascii="Times New Roman" w:eastAsia="Times New Roman" w:hAnsi="Times New Roman" w:cs="Times New Roman"/>
                <w:kern w:val="0"/>
                <w:lang w:eastAsia="ru-RU"/>
                <w14:ligatures w14:val="none"/>
              </w:rPr>
              <w:br/>
              <w:t>перевірок платників податків</w:t>
            </w:r>
            <w:r w:rsidRPr="00A6450B">
              <w:rPr>
                <w:rFonts w:ascii="Times New Roman" w:eastAsia="Times New Roman" w:hAnsi="Times New Roman" w:cs="Times New Roman"/>
                <w:kern w:val="0"/>
                <w:lang w:eastAsia="ru-RU"/>
                <w14:ligatures w14:val="none"/>
              </w:rPr>
              <w:br/>
              <w:t>(пункт 1 розділу II)</w:t>
            </w:r>
          </w:p>
        </w:tc>
      </w:tr>
    </w:tbl>
    <w:p w14:paraId="3E47797A" w14:textId="77777777" w:rsidR="00A6450B" w:rsidRPr="00A6450B" w:rsidRDefault="00A6450B" w:rsidP="00A6450B">
      <w:pPr>
        <w:spacing w:before="150" w:after="150" w:line="240" w:lineRule="auto"/>
        <w:ind w:left="450" w:right="450"/>
        <w:jc w:val="center"/>
        <w:rPr>
          <w:rFonts w:ascii="Times New Roman" w:eastAsia="Times New Roman" w:hAnsi="Times New Roman" w:cs="Times New Roman"/>
          <w:color w:val="333333"/>
          <w:kern w:val="0"/>
          <w:lang w:eastAsia="ru-RU"/>
          <w14:ligatures w14:val="none"/>
        </w:rPr>
      </w:pPr>
      <w:bookmarkStart w:id="328" w:name="n274"/>
      <w:bookmarkEnd w:id="328"/>
      <w:r w:rsidRPr="00A6450B">
        <w:rPr>
          <w:rFonts w:ascii="Times New Roman" w:eastAsia="Times New Roman" w:hAnsi="Times New Roman" w:cs="Times New Roman"/>
          <w:b/>
          <w:bCs/>
          <w:color w:val="333333"/>
          <w:kern w:val="0"/>
          <w:sz w:val="28"/>
          <w:szCs w:val="28"/>
          <w:lang w:eastAsia="ru-RU"/>
          <w14:ligatures w14:val="none"/>
        </w:rPr>
        <w:t>СТРУКТУРА </w:t>
      </w:r>
      <w:r w:rsidRPr="00A6450B">
        <w:rPr>
          <w:rFonts w:ascii="Times New Roman" w:eastAsia="Times New Roman" w:hAnsi="Times New Roman" w:cs="Times New Roman"/>
          <w:color w:val="333333"/>
          <w:kern w:val="0"/>
          <w:lang w:eastAsia="ru-RU"/>
          <w14:ligatures w14:val="none"/>
        </w:rPr>
        <w:br/>
      </w:r>
      <w:r w:rsidRPr="00A6450B">
        <w:rPr>
          <w:rFonts w:ascii="Times New Roman" w:eastAsia="Times New Roman" w:hAnsi="Times New Roman" w:cs="Times New Roman"/>
          <w:b/>
          <w:bCs/>
          <w:color w:val="333333"/>
          <w:kern w:val="0"/>
          <w:sz w:val="28"/>
          <w:szCs w:val="28"/>
          <w:lang w:eastAsia="ru-RU"/>
          <w14:ligatures w14:val="none"/>
        </w:rPr>
        <w:t>плану-графіка проведення документальних планових перевірок платників податків</w:t>
      </w:r>
    </w:p>
    <w:tbl>
      <w:tblPr>
        <w:tblW w:w="5000" w:type="pct"/>
        <w:tblCellMar>
          <w:top w:w="20" w:type="dxa"/>
          <w:left w:w="20" w:type="dxa"/>
          <w:bottom w:w="20" w:type="dxa"/>
          <w:right w:w="20" w:type="dxa"/>
        </w:tblCellMar>
        <w:tblLook w:val="04A0" w:firstRow="1" w:lastRow="0" w:firstColumn="1" w:lastColumn="0" w:noHBand="0" w:noVBand="1"/>
      </w:tblPr>
      <w:tblGrid>
        <w:gridCol w:w="631"/>
        <w:gridCol w:w="8379"/>
      </w:tblGrid>
      <w:tr w:rsidR="00A6450B" w:rsidRPr="00A6450B" w14:paraId="05ECD10E" w14:textId="77777777" w:rsidTr="00A6450B">
        <w:trPr>
          <w:trHeight w:val="160"/>
        </w:trPr>
        <w:tc>
          <w:tcPr>
            <w:tcW w:w="5000" w:type="pct"/>
            <w:gridSpan w:val="2"/>
            <w:tcBorders>
              <w:top w:val="single" w:sz="6" w:space="0" w:color="000000"/>
              <w:left w:val="single" w:sz="6" w:space="0" w:color="000000"/>
              <w:bottom w:val="single" w:sz="6" w:space="0" w:color="000000"/>
              <w:right w:val="single" w:sz="6" w:space="0" w:color="000000"/>
            </w:tcBorders>
            <w:hideMark/>
          </w:tcPr>
          <w:p w14:paraId="570C1775" w14:textId="77777777" w:rsidR="00A6450B" w:rsidRPr="00A6450B" w:rsidRDefault="00A6450B" w:rsidP="00A6450B">
            <w:pPr>
              <w:spacing w:before="150" w:after="150" w:line="240" w:lineRule="auto"/>
              <w:jc w:val="center"/>
              <w:rPr>
                <w:rFonts w:ascii="Times New Roman" w:eastAsia="Times New Roman" w:hAnsi="Times New Roman" w:cs="Times New Roman"/>
                <w:kern w:val="0"/>
                <w:lang w:eastAsia="ru-RU"/>
                <w14:ligatures w14:val="none"/>
              </w:rPr>
            </w:pPr>
            <w:bookmarkStart w:id="329" w:name="n1188"/>
            <w:bookmarkEnd w:id="329"/>
            <w:r w:rsidRPr="00A6450B">
              <w:rPr>
                <w:rFonts w:ascii="Times New Roman" w:eastAsia="Times New Roman" w:hAnsi="Times New Roman" w:cs="Times New Roman"/>
                <w:kern w:val="0"/>
                <w:lang w:eastAsia="ru-RU"/>
                <w14:ligatures w14:val="none"/>
              </w:rPr>
              <w:t>План-графік</w:t>
            </w:r>
          </w:p>
        </w:tc>
      </w:tr>
      <w:tr w:rsidR="00A6450B" w:rsidRPr="00A6450B" w14:paraId="7AA813A5" w14:textId="77777777" w:rsidTr="00A6450B">
        <w:trPr>
          <w:trHeight w:val="160"/>
        </w:trPr>
        <w:tc>
          <w:tcPr>
            <w:tcW w:w="350" w:type="pct"/>
            <w:tcBorders>
              <w:top w:val="nil"/>
              <w:left w:val="single" w:sz="6" w:space="0" w:color="auto"/>
              <w:bottom w:val="single" w:sz="6" w:space="0" w:color="auto"/>
              <w:right w:val="single" w:sz="6" w:space="0" w:color="auto"/>
            </w:tcBorders>
            <w:hideMark/>
          </w:tcPr>
          <w:p w14:paraId="691CA8A0" w14:textId="77777777" w:rsidR="00A6450B" w:rsidRPr="00A6450B" w:rsidRDefault="00A6450B" w:rsidP="00A6450B">
            <w:pPr>
              <w:spacing w:before="150" w:after="150" w:line="240" w:lineRule="auto"/>
              <w:jc w:val="center"/>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lang w:eastAsia="ru-RU"/>
                <w14:ligatures w14:val="none"/>
              </w:rPr>
              <w:t>код</w:t>
            </w:r>
          </w:p>
        </w:tc>
        <w:tc>
          <w:tcPr>
            <w:tcW w:w="4600" w:type="pct"/>
            <w:tcBorders>
              <w:top w:val="nil"/>
              <w:left w:val="nil"/>
              <w:bottom w:val="single" w:sz="6" w:space="0" w:color="auto"/>
              <w:right w:val="single" w:sz="6" w:space="0" w:color="auto"/>
            </w:tcBorders>
            <w:hideMark/>
          </w:tcPr>
          <w:p w14:paraId="0B7DF837" w14:textId="77777777" w:rsidR="00A6450B" w:rsidRPr="00A6450B" w:rsidRDefault="00A6450B" w:rsidP="00A6450B">
            <w:pPr>
              <w:spacing w:before="150" w:after="150" w:line="240" w:lineRule="auto"/>
              <w:jc w:val="center"/>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lang w:eastAsia="ru-RU"/>
                <w14:ligatures w14:val="none"/>
              </w:rPr>
              <w:t>назва розділу, підрозділу або групи</w:t>
            </w:r>
          </w:p>
        </w:tc>
      </w:tr>
      <w:tr w:rsidR="00A6450B" w:rsidRPr="00A6450B" w14:paraId="0AD26E77" w14:textId="77777777" w:rsidTr="00A6450B">
        <w:trPr>
          <w:trHeight w:val="160"/>
        </w:trPr>
        <w:tc>
          <w:tcPr>
            <w:tcW w:w="350" w:type="pct"/>
            <w:tcBorders>
              <w:top w:val="nil"/>
              <w:left w:val="single" w:sz="6" w:space="0" w:color="auto"/>
              <w:bottom w:val="single" w:sz="6" w:space="0" w:color="auto"/>
              <w:right w:val="single" w:sz="6" w:space="0" w:color="auto"/>
            </w:tcBorders>
            <w:hideMark/>
          </w:tcPr>
          <w:p w14:paraId="1D068D97" w14:textId="77777777" w:rsidR="00A6450B" w:rsidRPr="00A6450B" w:rsidRDefault="00A6450B" w:rsidP="00A6450B">
            <w:pPr>
              <w:spacing w:before="150" w:after="150" w:line="240" w:lineRule="auto"/>
              <w:jc w:val="center"/>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lang w:eastAsia="ru-RU"/>
                <w14:ligatures w14:val="none"/>
              </w:rPr>
              <w:lastRenderedPageBreak/>
              <w:t>1</w:t>
            </w:r>
          </w:p>
        </w:tc>
        <w:tc>
          <w:tcPr>
            <w:tcW w:w="4600" w:type="pct"/>
            <w:tcBorders>
              <w:top w:val="nil"/>
              <w:left w:val="nil"/>
              <w:bottom w:val="single" w:sz="6" w:space="0" w:color="auto"/>
              <w:right w:val="single" w:sz="6" w:space="0" w:color="auto"/>
            </w:tcBorders>
            <w:hideMark/>
          </w:tcPr>
          <w:p w14:paraId="1F729BDF" w14:textId="77777777" w:rsidR="00A6450B" w:rsidRPr="00A6450B" w:rsidRDefault="00A6450B" w:rsidP="00A6450B">
            <w:pPr>
              <w:spacing w:before="150" w:after="150" w:line="240" w:lineRule="auto"/>
              <w:jc w:val="center"/>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lang w:eastAsia="ru-RU"/>
                <w14:ligatures w14:val="none"/>
              </w:rPr>
              <w:t>2</w:t>
            </w:r>
          </w:p>
        </w:tc>
      </w:tr>
      <w:tr w:rsidR="00A6450B" w:rsidRPr="00A6450B" w14:paraId="36BA19AE" w14:textId="77777777" w:rsidTr="00A6450B">
        <w:trPr>
          <w:trHeight w:val="160"/>
        </w:trPr>
        <w:tc>
          <w:tcPr>
            <w:tcW w:w="350" w:type="pct"/>
            <w:tcBorders>
              <w:top w:val="nil"/>
              <w:left w:val="single" w:sz="6" w:space="0" w:color="auto"/>
              <w:bottom w:val="single" w:sz="6" w:space="0" w:color="auto"/>
              <w:right w:val="single" w:sz="6" w:space="0" w:color="auto"/>
            </w:tcBorders>
            <w:hideMark/>
          </w:tcPr>
          <w:p w14:paraId="45E48467" w14:textId="77777777" w:rsidR="00A6450B" w:rsidRPr="00A6450B" w:rsidRDefault="00A6450B" w:rsidP="00A6450B">
            <w:pPr>
              <w:spacing w:before="150" w:after="150" w:line="240" w:lineRule="auto"/>
              <w:jc w:val="center"/>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lang w:eastAsia="ru-RU"/>
                <w14:ligatures w14:val="none"/>
              </w:rPr>
              <w:t>1000</w:t>
            </w:r>
          </w:p>
        </w:tc>
        <w:tc>
          <w:tcPr>
            <w:tcW w:w="4600" w:type="pct"/>
            <w:tcBorders>
              <w:top w:val="nil"/>
              <w:left w:val="nil"/>
              <w:bottom w:val="single" w:sz="6" w:space="0" w:color="auto"/>
              <w:right w:val="single" w:sz="6" w:space="0" w:color="auto"/>
            </w:tcBorders>
            <w:hideMark/>
          </w:tcPr>
          <w:p w14:paraId="6AB82D98" w14:textId="77777777" w:rsidR="00A6450B" w:rsidRPr="00A6450B" w:rsidRDefault="00A6450B" w:rsidP="00A6450B">
            <w:pPr>
              <w:spacing w:before="150" w:after="150" w:line="240" w:lineRule="auto"/>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i/>
                <w:iCs/>
                <w:kern w:val="0"/>
                <w:lang w:eastAsia="ru-RU"/>
                <w14:ligatures w14:val="none"/>
              </w:rPr>
              <w:t>розділ I.</w:t>
            </w:r>
            <w:r w:rsidRPr="00A6450B">
              <w:rPr>
                <w:rFonts w:ascii="Times New Roman" w:eastAsia="Times New Roman" w:hAnsi="Times New Roman" w:cs="Times New Roman"/>
                <w:kern w:val="0"/>
                <w:lang w:eastAsia="ru-RU"/>
                <w14:ligatures w14:val="none"/>
              </w:rPr>
              <w:t> Документальні планові перевірки платників податків - юридичних осіб</w:t>
            </w:r>
          </w:p>
        </w:tc>
      </w:tr>
      <w:tr w:rsidR="00A6450B" w:rsidRPr="00A6450B" w14:paraId="71540B75" w14:textId="77777777" w:rsidTr="00A6450B">
        <w:trPr>
          <w:trHeight w:val="160"/>
        </w:trPr>
        <w:tc>
          <w:tcPr>
            <w:tcW w:w="350" w:type="pct"/>
            <w:tcBorders>
              <w:top w:val="nil"/>
              <w:left w:val="single" w:sz="6" w:space="0" w:color="auto"/>
              <w:bottom w:val="single" w:sz="6" w:space="0" w:color="auto"/>
              <w:right w:val="single" w:sz="6" w:space="0" w:color="auto"/>
            </w:tcBorders>
            <w:hideMark/>
          </w:tcPr>
          <w:p w14:paraId="1C77EC8C" w14:textId="77777777" w:rsidR="00A6450B" w:rsidRPr="00A6450B" w:rsidRDefault="00A6450B" w:rsidP="00A6450B">
            <w:pPr>
              <w:spacing w:before="150" w:after="150" w:line="240" w:lineRule="auto"/>
              <w:jc w:val="center"/>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lang w:eastAsia="ru-RU"/>
                <w14:ligatures w14:val="none"/>
              </w:rPr>
              <w:t>1100</w:t>
            </w:r>
          </w:p>
        </w:tc>
        <w:tc>
          <w:tcPr>
            <w:tcW w:w="4600" w:type="pct"/>
            <w:tcBorders>
              <w:top w:val="nil"/>
              <w:left w:val="nil"/>
              <w:bottom w:val="single" w:sz="6" w:space="0" w:color="auto"/>
              <w:right w:val="single" w:sz="6" w:space="0" w:color="auto"/>
            </w:tcBorders>
            <w:hideMark/>
          </w:tcPr>
          <w:p w14:paraId="3FBA8383" w14:textId="77777777" w:rsidR="00A6450B" w:rsidRPr="00A6450B" w:rsidRDefault="00A6450B" w:rsidP="00A6450B">
            <w:pPr>
              <w:spacing w:before="150" w:after="150" w:line="240" w:lineRule="auto"/>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lang w:eastAsia="ru-RU"/>
                <w14:ligatures w14:val="none"/>
              </w:rPr>
              <w:t>А. Платники податків, які належать до кластерних об’єднань платників податків, та їх контрагенти</w:t>
            </w:r>
          </w:p>
        </w:tc>
      </w:tr>
      <w:tr w:rsidR="00A6450B" w:rsidRPr="00A6450B" w14:paraId="612B44C3" w14:textId="77777777" w:rsidTr="00A6450B">
        <w:trPr>
          <w:trHeight w:val="160"/>
        </w:trPr>
        <w:tc>
          <w:tcPr>
            <w:tcW w:w="350" w:type="pct"/>
            <w:tcBorders>
              <w:top w:val="nil"/>
              <w:left w:val="single" w:sz="6" w:space="0" w:color="auto"/>
              <w:bottom w:val="single" w:sz="6" w:space="0" w:color="auto"/>
              <w:right w:val="single" w:sz="6" w:space="0" w:color="auto"/>
            </w:tcBorders>
            <w:hideMark/>
          </w:tcPr>
          <w:p w14:paraId="404883A9" w14:textId="77777777" w:rsidR="00A6450B" w:rsidRPr="00A6450B" w:rsidRDefault="00A6450B" w:rsidP="00A6450B">
            <w:pPr>
              <w:spacing w:before="150" w:after="150" w:line="240" w:lineRule="auto"/>
              <w:jc w:val="center"/>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lang w:eastAsia="ru-RU"/>
                <w14:ligatures w14:val="none"/>
              </w:rPr>
              <w:t>1101</w:t>
            </w:r>
          </w:p>
        </w:tc>
        <w:tc>
          <w:tcPr>
            <w:tcW w:w="4600" w:type="pct"/>
            <w:tcBorders>
              <w:top w:val="nil"/>
              <w:left w:val="nil"/>
              <w:bottom w:val="single" w:sz="6" w:space="0" w:color="auto"/>
              <w:right w:val="single" w:sz="6" w:space="0" w:color="auto"/>
            </w:tcBorders>
            <w:hideMark/>
          </w:tcPr>
          <w:p w14:paraId="38EFC37C" w14:textId="77777777" w:rsidR="00A6450B" w:rsidRPr="00A6450B" w:rsidRDefault="00A6450B" w:rsidP="00A6450B">
            <w:pPr>
              <w:spacing w:before="150" w:after="150" w:line="240" w:lineRule="auto"/>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lang w:eastAsia="ru-RU"/>
                <w14:ligatures w14:val="none"/>
              </w:rPr>
              <w:t>А. Основнi підприємства, які належать до кластерних об’єднань</w:t>
            </w:r>
          </w:p>
        </w:tc>
      </w:tr>
      <w:tr w:rsidR="00A6450B" w:rsidRPr="00A6450B" w14:paraId="173F3DFF" w14:textId="77777777" w:rsidTr="00A6450B">
        <w:trPr>
          <w:trHeight w:val="160"/>
        </w:trPr>
        <w:tc>
          <w:tcPr>
            <w:tcW w:w="350" w:type="pct"/>
            <w:tcBorders>
              <w:top w:val="nil"/>
              <w:left w:val="single" w:sz="6" w:space="0" w:color="auto"/>
              <w:bottom w:val="single" w:sz="6" w:space="0" w:color="auto"/>
              <w:right w:val="single" w:sz="6" w:space="0" w:color="auto"/>
            </w:tcBorders>
            <w:hideMark/>
          </w:tcPr>
          <w:p w14:paraId="53F9C913" w14:textId="77777777" w:rsidR="00A6450B" w:rsidRPr="00A6450B" w:rsidRDefault="00A6450B" w:rsidP="00A6450B">
            <w:pPr>
              <w:spacing w:before="150" w:after="150" w:line="240" w:lineRule="auto"/>
              <w:jc w:val="center"/>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lang w:eastAsia="ru-RU"/>
                <w14:ligatures w14:val="none"/>
              </w:rPr>
              <w:t>1102</w:t>
            </w:r>
          </w:p>
        </w:tc>
        <w:tc>
          <w:tcPr>
            <w:tcW w:w="4600" w:type="pct"/>
            <w:tcBorders>
              <w:top w:val="nil"/>
              <w:left w:val="nil"/>
              <w:bottom w:val="single" w:sz="6" w:space="0" w:color="auto"/>
              <w:right w:val="single" w:sz="6" w:space="0" w:color="auto"/>
            </w:tcBorders>
            <w:hideMark/>
          </w:tcPr>
          <w:p w14:paraId="30A3CEBF" w14:textId="77777777" w:rsidR="00A6450B" w:rsidRPr="00A6450B" w:rsidRDefault="00A6450B" w:rsidP="00A6450B">
            <w:pPr>
              <w:spacing w:before="150" w:after="150" w:line="240" w:lineRule="auto"/>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lang w:eastAsia="ru-RU"/>
                <w14:ligatures w14:val="none"/>
              </w:rPr>
              <w:t>А. Найбільші контрагенти, через які здійснюються товарно-грошові операції (включаючи посередницькі структури, експортерів, імпортерів, філії, інших платників податків - юридичних осіб)</w:t>
            </w:r>
          </w:p>
        </w:tc>
      </w:tr>
      <w:tr w:rsidR="00A6450B" w:rsidRPr="00A6450B" w14:paraId="4E8D092C" w14:textId="77777777" w:rsidTr="00A6450B">
        <w:trPr>
          <w:trHeight w:val="160"/>
        </w:trPr>
        <w:tc>
          <w:tcPr>
            <w:tcW w:w="350" w:type="pct"/>
            <w:tcBorders>
              <w:top w:val="nil"/>
              <w:left w:val="single" w:sz="6" w:space="0" w:color="auto"/>
              <w:bottom w:val="single" w:sz="6" w:space="0" w:color="auto"/>
              <w:right w:val="single" w:sz="6" w:space="0" w:color="auto"/>
            </w:tcBorders>
            <w:hideMark/>
          </w:tcPr>
          <w:p w14:paraId="703A137C" w14:textId="77777777" w:rsidR="00A6450B" w:rsidRPr="00A6450B" w:rsidRDefault="00A6450B" w:rsidP="00A6450B">
            <w:pPr>
              <w:spacing w:before="150" w:after="150" w:line="240" w:lineRule="auto"/>
              <w:jc w:val="center"/>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lang w:eastAsia="ru-RU"/>
                <w14:ligatures w14:val="none"/>
              </w:rPr>
              <w:t>1200</w:t>
            </w:r>
          </w:p>
        </w:tc>
        <w:tc>
          <w:tcPr>
            <w:tcW w:w="4600" w:type="pct"/>
            <w:tcBorders>
              <w:top w:val="nil"/>
              <w:left w:val="nil"/>
              <w:bottom w:val="single" w:sz="6" w:space="0" w:color="auto"/>
              <w:right w:val="single" w:sz="6" w:space="0" w:color="auto"/>
            </w:tcBorders>
            <w:hideMark/>
          </w:tcPr>
          <w:p w14:paraId="7F0A708F" w14:textId="77777777" w:rsidR="00A6450B" w:rsidRPr="00A6450B" w:rsidRDefault="00A6450B" w:rsidP="00A6450B">
            <w:pPr>
              <w:spacing w:before="150" w:after="150" w:line="240" w:lineRule="auto"/>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lang w:eastAsia="ru-RU"/>
                <w14:ligatures w14:val="none"/>
              </w:rPr>
              <w:t>Б. Інші платники податків, які відбираються на регіональному рівні</w:t>
            </w:r>
          </w:p>
        </w:tc>
      </w:tr>
      <w:tr w:rsidR="00A6450B" w:rsidRPr="00A6450B" w14:paraId="1F70FB7B" w14:textId="77777777" w:rsidTr="00A6450B">
        <w:trPr>
          <w:trHeight w:val="160"/>
        </w:trPr>
        <w:tc>
          <w:tcPr>
            <w:tcW w:w="350" w:type="pct"/>
            <w:tcBorders>
              <w:top w:val="nil"/>
              <w:left w:val="single" w:sz="6" w:space="0" w:color="auto"/>
              <w:bottom w:val="single" w:sz="6" w:space="0" w:color="auto"/>
              <w:right w:val="single" w:sz="6" w:space="0" w:color="auto"/>
            </w:tcBorders>
            <w:hideMark/>
          </w:tcPr>
          <w:p w14:paraId="13A5B421" w14:textId="77777777" w:rsidR="00A6450B" w:rsidRPr="00A6450B" w:rsidRDefault="00A6450B" w:rsidP="00A6450B">
            <w:pPr>
              <w:spacing w:before="150" w:after="150" w:line="240" w:lineRule="auto"/>
              <w:jc w:val="center"/>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lang w:eastAsia="ru-RU"/>
                <w14:ligatures w14:val="none"/>
              </w:rPr>
              <w:t>1201</w:t>
            </w:r>
          </w:p>
        </w:tc>
        <w:tc>
          <w:tcPr>
            <w:tcW w:w="4600" w:type="pct"/>
            <w:tcBorders>
              <w:top w:val="nil"/>
              <w:left w:val="nil"/>
              <w:bottom w:val="single" w:sz="6" w:space="0" w:color="auto"/>
              <w:right w:val="single" w:sz="6" w:space="0" w:color="auto"/>
            </w:tcBorders>
            <w:hideMark/>
          </w:tcPr>
          <w:p w14:paraId="56FC12FB" w14:textId="77777777" w:rsidR="00A6450B" w:rsidRPr="00A6450B" w:rsidRDefault="00A6450B" w:rsidP="00A6450B">
            <w:pPr>
              <w:spacing w:before="150" w:after="150" w:line="240" w:lineRule="auto"/>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lang w:eastAsia="ru-RU"/>
                <w14:ligatures w14:val="none"/>
              </w:rPr>
              <w:t>Б. Основнi підприємства</w:t>
            </w:r>
          </w:p>
        </w:tc>
      </w:tr>
      <w:tr w:rsidR="00A6450B" w:rsidRPr="00A6450B" w14:paraId="6811C1B6" w14:textId="77777777" w:rsidTr="00A6450B">
        <w:trPr>
          <w:trHeight w:val="160"/>
        </w:trPr>
        <w:tc>
          <w:tcPr>
            <w:tcW w:w="350" w:type="pct"/>
            <w:tcBorders>
              <w:top w:val="nil"/>
              <w:left w:val="single" w:sz="6" w:space="0" w:color="auto"/>
              <w:bottom w:val="single" w:sz="6" w:space="0" w:color="auto"/>
              <w:right w:val="single" w:sz="6" w:space="0" w:color="auto"/>
            </w:tcBorders>
            <w:hideMark/>
          </w:tcPr>
          <w:p w14:paraId="4C6C5E6C" w14:textId="77777777" w:rsidR="00A6450B" w:rsidRPr="00A6450B" w:rsidRDefault="00A6450B" w:rsidP="00A6450B">
            <w:pPr>
              <w:spacing w:before="150" w:after="150" w:line="240" w:lineRule="auto"/>
              <w:jc w:val="center"/>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lang w:eastAsia="ru-RU"/>
                <w14:ligatures w14:val="none"/>
              </w:rPr>
              <w:t>1202</w:t>
            </w:r>
          </w:p>
        </w:tc>
        <w:tc>
          <w:tcPr>
            <w:tcW w:w="4600" w:type="pct"/>
            <w:tcBorders>
              <w:top w:val="nil"/>
              <w:left w:val="nil"/>
              <w:bottom w:val="single" w:sz="6" w:space="0" w:color="auto"/>
              <w:right w:val="single" w:sz="6" w:space="0" w:color="auto"/>
            </w:tcBorders>
            <w:hideMark/>
          </w:tcPr>
          <w:p w14:paraId="746F2CAC" w14:textId="77777777" w:rsidR="00A6450B" w:rsidRPr="00A6450B" w:rsidRDefault="00A6450B" w:rsidP="00A6450B">
            <w:pPr>
              <w:spacing w:before="150" w:after="150" w:line="240" w:lineRule="auto"/>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lang w:eastAsia="ru-RU"/>
                <w14:ligatures w14:val="none"/>
              </w:rPr>
              <w:t>Б. Найбільші контрагенти, через які здійснюються товарно-грошові операції (включаючи посередницькі структури, експортерів, імпортерів, філії, інших платників податків - юридичних осіб)</w:t>
            </w:r>
          </w:p>
        </w:tc>
      </w:tr>
      <w:tr w:rsidR="00A6450B" w:rsidRPr="00A6450B" w14:paraId="4ACF7667" w14:textId="77777777" w:rsidTr="00A6450B">
        <w:trPr>
          <w:trHeight w:val="160"/>
        </w:trPr>
        <w:tc>
          <w:tcPr>
            <w:tcW w:w="350" w:type="pct"/>
            <w:tcBorders>
              <w:top w:val="nil"/>
              <w:left w:val="single" w:sz="6" w:space="0" w:color="auto"/>
              <w:bottom w:val="single" w:sz="6" w:space="0" w:color="auto"/>
              <w:right w:val="single" w:sz="6" w:space="0" w:color="auto"/>
            </w:tcBorders>
            <w:hideMark/>
          </w:tcPr>
          <w:p w14:paraId="0C414D4B" w14:textId="77777777" w:rsidR="00A6450B" w:rsidRPr="00A6450B" w:rsidRDefault="00A6450B" w:rsidP="00A6450B">
            <w:pPr>
              <w:spacing w:before="150" w:after="150" w:line="240" w:lineRule="auto"/>
              <w:jc w:val="center"/>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lang w:eastAsia="ru-RU"/>
                <w14:ligatures w14:val="none"/>
              </w:rPr>
              <w:t>2000</w:t>
            </w:r>
          </w:p>
        </w:tc>
        <w:tc>
          <w:tcPr>
            <w:tcW w:w="4600" w:type="pct"/>
            <w:tcBorders>
              <w:top w:val="nil"/>
              <w:left w:val="nil"/>
              <w:bottom w:val="single" w:sz="6" w:space="0" w:color="auto"/>
              <w:right w:val="single" w:sz="6" w:space="0" w:color="auto"/>
            </w:tcBorders>
            <w:hideMark/>
          </w:tcPr>
          <w:p w14:paraId="403EF87C" w14:textId="77777777" w:rsidR="00A6450B" w:rsidRPr="00A6450B" w:rsidRDefault="00A6450B" w:rsidP="00A6450B">
            <w:pPr>
              <w:spacing w:before="150" w:after="150" w:line="240" w:lineRule="auto"/>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i/>
                <w:iCs/>
                <w:kern w:val="0"/>
                <w:lang w:eastAsia="ru-RU"/>
                <w14:ligatures w14:val="none"/>
              </w:rPr>
              <w:t>розділ II.</w:t>
            </w:r>
            <w:r w:rsidRPr="00A6450B">
              <w:rPr>
                <w:rFonts w:ascii="Times New Roman" w:eastAsia="Times New Roman" w:hAnsi="Times New Roman" w:cs="Times New Roman"/>
                <w:kern w:val="0"/>
                <w:lang w:eastAsia="ru-RU"/>
                <w14:ligatures w14:val="none"/>
              </w:rPr>
              <w:t> Документальні плановi перевiрки фiнансових установ та постійних представництв нерезидентів</w:t>
            </w:r>
          </w:p>
        </w:tc>
      </w:tr>
      <w:tr w:rsidR="00A6450B" w:rsidRPr="00A6450B" w14:paraId="6920496C" w14:textId="77777777" w:rsidTr="00A6450B">
        <w:trPr>
          <w:trHeight w:val="160"/>
        </w:trPr>
        <w:tc>
          <w:tcPr>
            <w:tcW w:w="350" w:type="pct"/>
            <w:tcBorders>
              <w:top w:val="nil"/>
              <w:left w:val="single" w:sz="6" w:space="0" w:color="auto"/>
              <w:bottom w:val="single" w:sz="6" w:space="0" w:color="auto"/>
              <w:right w:val="single" w:sz="6" w:space="0" w:color="auto"/>
            </w:tcBorders>
            <w:hideMark/>
          </w:tcPr>
          <w:p w14:paraId="13FE2097" w14:textId="77777777" w:rsidR="00A6450B" w:rsidRPr="00A6450B" w:rsidRDefault="00A6450B" w:rsidP="00A6450B">
            <w:pPr>
              <w:spacing w:before="150" w:after="150" w:line="240" w:lineRule="auto"/>
              <w:jc w:val="center"/>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lang w:eastAsia="ru-RU"/>
                <w14:ligatures w14:val="none"/>
              </w:rPr>
              <w:t>2100</w:t>
            </w:r>
          </w:p>
        </w:tc>
        <w:tc>
          <w:tcPr>
            <w:tcW w:w="4600" w:type="pct"/>
            <w:tcBorders>
              <w:top w:val="nil"/>
              <w:left w:val="nil"/>
              <w:bottom w:val="single" w:sz="6" w:space="0" w:color="auto"/>
              <w:right w:val="single" w:sz="6" w:space="0" w:color="auto"/>
            </w:tcBorders>
            <w:hideMark/>
          </w:tcPr>
          <w:p w14:paraId="17350C29" w14:textId="77777777" w:rsidR="00A6450B" w:rsidRPr="00A6450B" w:rsidRDefault="00A6450B" w:rsidP="00A6450B">
            <w:pPr>
              <w:spacing w:before="150" w:after="150" w:line="240" w:lineRule="auto"/>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lang w:eastAsia="ru-RU"/>
                <w14:ligatures w14:val="none"/>
              </w:rPr>
              <w:t>Банки та їх відокремлені підрозділи</w:t>
            </w:r>
          </w:p>
        </w:tc>
      </w:tr>
      <w:tr w:rsidR="00A6450B" w:rsidRPr="00A6450B" w14:paraId="49C9826F" w14:textId="77777777" w:rsidTr="00A6450B">
        <w:trPr>
          <w:trHeight w:val="160"/>
        </w:trPr>
        <w:tc>
          <w:tcPr>
            <w:tcW w:w="350" w:type="pct"/>
            <w:tcBorders>
              <w:top w:val="nil"/>
              <w:left w:val="single" w:sz="6" w:space="0" w:color="auto"/>
              <w:bottom w:val="single" w:sz="6" w:space="0" w:color="auto"/>
              <w:right w:val="single" w:sz="6" w:space="0" w:color="auto"/>
            </w:tcBorders>
            <w:hideMark/>
          </w:tcPr>
          <w:p w14:paraId="16ADADD9" w14:textId="77777777" w:rsidR="00A6450B" w:rsidRPr="00A6450B" w:rsidRDefault="00A6450B" w:rsidP="00A6450B">
            <w:pPr>
              <w:spacing w:before="150" w:after="150" w:line="240" w:lineRule="auto"/>
              <w:jc w:val="center"/>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lang w:eastAsia="ru-RU"/>
                <w14:ligatures w14:val="none"/>
              </w:rPr>
              <w:t>2200</w:t>
            </w:r>
          </w:p>
        </w:tc>
        <w:tc>
          <w:tcPr>
            <w:tcW w:w="4600" w:type="pct"/>
            <w:tcBorders>
              <w:top w:val="nil"/>
              <w:left w:val="nil"/>
              <w:bottom w:val="single" w:sz="6" w:space="0" w:color="auto"/>
              <w:right w:val="single" w:sz="6" w:space="0" w:color="auto"/>
            </w:tcBorders>
            <w:hideMark/>
          </w:tcPr>
          <w:p w14:paraId="1FF309BE" w14:textId="77777777" w:rsidR="00A6450B" w:rsidRPr="00A6450B" w:rsidRDefault="00A6450B" w:rsidP="00A6450B">
            <w:pPr>
              <w:spacing w:before="150" w:after="150" w:line="240" w:lineRule="auto"/>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lang w:eastAsia="ru-RU"/>
                <w14:ligatures w14:val="none"/>
              </w:rPr>
              <w:t>Страховики та їх відокремлені підрозділи</w:t>
            </w:r>
          </w:p>
        </w:tc>
      </w:tr>
      <w:tr w:rsidR="00A6450B" w:rsidRPr="00A6450B" w14:paraId="1DA740EE" w14:textId="77777777" w:rsidTr="00A6450B">
        <w:trPr>
          <w:trHeight w:val="160"/>
        </w:trPr>
        <w:tc>
          <w:tcPr>
            <w:tcW w:w="350" w:type="pct"/>
            <w:tcBorders>
              <w:top w:val="nil"/>
              <w:left w:val="single" w:sz="6" w:space="0" w:color="auto"/>
              <w:bottom w:val="single" w:sz="6" w:space="0" w:color="auto"/>
              <w:right w:val="single" w:sz="6" w:space="0" w:color="auto"/>
            </w:tcBorders>
            <w:hideMark/>
          </w:tcPr>
          <w:p w14:paraId="529DAFF2" w14:textId="77777777" w:rsidR="00A6450B" w:rsidRPr="00A6450B" w:rsidRDefault="00A6450B" w:rsidP="00A6450B">
            <w:pPr>
              <w:spacing w:before="150" w:after="150" w:line="240" w:lineRule="auto"/>
              <w:jc w:val="center"/>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lang w:eastAsia="ru-RU"/>
                <w14:ligatures w14:val="none"/>
              </w:rPr>
              <w:t>2300</w:t>
            </w:r>
          </w:p>
        </w:tc>
        <w:tc>
          <w:tcPr>
            <w:tcW w:w="4600" w:type="pct"/>
            <w:tcBorders>
              <w:top w:val="nil"/>
              <w:left w:val="nil"/>
              <w:bottom w:val="single" w:sz="6" w:space="0" w:color="auto"/>
              <w:right w:val="single" w:sz="6" w:space="0" w:color="auto"/>
            </w:tcBorders>
            <w:hideMark/>
          </w:tcPr>
          <w:p w14:paraId="0673A5AB" w14:textId="77777777" w:rsidR="00A6450B" w:rsidRPr="00A6450B" w:rsidRDefault="00A6450B" w:rsidP="00A6450B">
            <w:pPr>
              <w:spacing w:before="150" w:after="150" w:line="240" w:lineRule="auto"/>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lang w:eastAsia="ru-RU"/>
                <w14:ligatures w14:val="none"/>
              </w:rPr>
              <w:t>Торговцi цiнними паперами та їх відокремлені підрозділи</w:t>
            </w:r>
          </w:p>
        </w:tc>
      </w:tr>
      <w:tr w:rsidR="00A6450B" w:rsidRPr="00A6450B" w14:paraId="2C88C0A8" w14:textId="77777777" w:rsidTr="00A6450B">
        <w:trPr>
          <w:trHeight w:val="160"/>
        </w:trPr>
        <w:tc>
          <w:tcPr>
            <w:tcW w:w="350" w:type="pct"/>
            <w:tcBorders>
              <w:top w:val="nil"/>
              <w:left w:val="single" w:sz="6" w:space="0" w:color="auto"/>
              <w:bottom w:val="single" w:sz="6" w:space="0" w:color="auto"/>
              <w:right w:val="single" w:sz="6" w:space="0" w:color="auto"/>
            </w:tcBorders>
            <w:hideMark/>
          </w:tcPr>
          <w:p w14:paraId="34729998" w14:textId="77777777" w:rsidR="00A6450B" w:rsidRPr="00A6450B" w:rsidRDefault="00A6450B" w:rsidP="00A6450B">
            <w:pPr>
              <w:spacing w:before="150" w:after="150" w:line="240" w:lineRule="auto"/>
              <w:jc w:val="center"/>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lang w:eastAsia="ru-RU"/>
                <w14:ligatures w14:val="none"/>
              </w:rPr>
              <w:t>2400</w:t>
            </w:r>
          </w:p>
        </w:tc>
        <w:tc>
          <w:tcPr>
            <w:tcW w:w="4600" w:type="pct"/>
            <w:tcBorders>
              <w:top w:val="nil"/>
              <w:left w:val="nil"/>
              <w:bottom w:val="single" w:sz="6" w:space="0" w:color="auto"/>
              <w:right w:val="single" w:sz="6" w:space="0" w:color="auto"/>
            </w:tcBorders>
            <w:hideMark/>
          </w:tcPr>
          <w:p w14:paraId="2B7B195D" w14:textId="77777777" w:rsidR="00A6450B" w:rsidRPr="00A6450B" w:rsidRDefault="00A6450B" w:rsidP="00A6450B">
            <w:pPr>
              <w:spacing w:before="150" w:after="150" w:line="240" w:lineRule="auto"/>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lang w:eastAsia="ru-RU"/>
                <w14:ligatures w14:val="none"/>
              </w:rPr>
              <w:t>Іншi небанківські установи та їх відокремлені підрозділи</w:t>
            </w:r>
          </w:p>
        </w:tc>
      </w:tr>
      <w:tr w:rsidR="00A6450B" w:rsidRPr="00A6450B" w14:paraId="7969439E" w14:textId="77777777" w:rsidTr="00A6450B">
        <w:trPr>
          <w:trHeight w:val="160"/>
        </w:trPr>
        <w:tc>
          <w:tcPr>
            <w:tcW w:w="350" w:type="pct"/>
            <w:tcBorders>
              <w:top w:val="nil"/>
              <w:left w:val="single" w:sz="6" w:space="0" w:color="auto"/>
              <w:bottom w:val="single" w:sz="6" w:space="0" w:color="auto"/>
              <w:right w:val="single" w:sz="6" w:space="0" w:color="auto"/>
            </w:tcBorders>
            <w:hideMark/>
          </w:tcPr>
          <w:p w14:paraId="1553A588" w14:textId="77777777" w:rsidR="00A6450B" w:rsidRPr="00A6450B" w:rsidRDefault="00A6450B" w:rsidP="00A6450B">
            <w:pPr>
              <w:spacing w:before="150" w:after="150" w:line="240" w:lineRule="auto"/>
              <w:jc w:val="center"/>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lang w:eastAsia="ru-RU"/>
                <w14:ligatures w14:val="none"/>
              </w:rPr>
              <w:t>2500</w:t>
            </w:r>
          </w:p>
        </w:tc>
        <w:tc>
          <w:tcPr>
            <w:tcW w:w="4600" w:type="pct"/>
            <w:tcBorders>
              <w:top w:val="nil"/>
              <w:left w:val="nil"/>
              <w:bottom w:val="single" w:sz="6" w:space="0" w:color="auto"/>
              <w:right w:val="single" w:sz="6" w:space="0" w:color="auto"/>
            </w:tcBorders>
            <w:hideMark/>
          </w:tcPr>
          <w:p w14:paraId="4502043C" w14:textId="77777777" w:rsidR="00A6450B" w:rsidRPr="00A6450B" w:rsidRDefault="00A6450B" w:rsidP="00A6450B">
            <w:pPr>
              <w:spacing w:before="150" w:after="150" w:line="240" w:lineRule="auto"/>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lang w:eastAsia="ru-RU"/>
                <w14:ligatures w14:val="none"/>
              </w:rPr>
              <w:t>Постійні представництва та представництва нерезидентів</w:t>
            </w:r>
          </w:p>
        </w:tc>
      </w:tr>
      <w:tr w:rsidR="00A6450B" w:rsidRPr="00A6450B" w14:paraId="12C967F6" w14:textId="77777777" w:rsidTr="00A6450B">
        <w:trPr>
          <w:trHeight w:val="160"/>
        </w:trPr>
        <w:tc>
          <w:tcPr>
            <w:tcW w:w="350" w:type="pct"/>
            <w:tcBorders>
              <w:top w:val="nil"/>
              <w:left w:val="single" w:sz="6" w:space="0" w:color="auto"/>
              <w:bottom w:val="single" w:sz="6" w:space="0" w:color="auto"/>
              <w:right w:val="single" w:sz="6" w:space="0" w:color="auto"/>
            </w:tcBorders>
            <w:hideMark/>
          </w:tcPr>
          <w:p w14:paraId="5653EBB9" w14:textId="77777777" w:rsidR="00A6450B" w:rsidRPr="00A6450B" w:rsidRDefault="00A6450B" w:rsidP="00A6450B">
            <w:pPr>
              <w:spacing w:before="150" w:after="150" w:line="240" w:lineRule="auto"/>
              <w:jc w:val="center"/>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lang w:eastAsia="ru-RU"/>
                <w14:ligatures w14:val="none"/>
              </w:rPr>
              <w:t>3000</w:t>
            </w:r>
          </w:p>
        </w:tc>
        <w:tc>
          <w:tcPr>
            <w:tcW w:w="4600" w:type="pct"/>
            <w:tcBorders>
              <w:top w:val="nil"/>
              <w:left w:val="nil"/>
              <w:bottom w:val="single" w:sz="6" w:space="0" w:color="auto"/>
              <w:right w:val="single" w:sz="6" w:space="0" w:color="auto"/>
            </w:tcBorders>
            <w:hideMark/>
          </w:tcPr>
          <w:p w14:paraId="6C8704A0" w14:textId="77777777" w:rsidR="00A6450B" w:rsidRPr="00A6450B" w:rsidRDefault="00A6450B" w:rsidP="00A6450B">
            <w:pPr>
              <w:spacing w:before="150" w:after="150" w:line="240" w:lineRule="auto"/>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i/>
                <w:iCs/>
                <w:kern w:val="0"/>
                <w:lang w:eastAsia="ru-RU"/>
                <w14:ligatures w14:val="none"/>
              </w:rPr>
              <w:t>розділ III.</w:t>
            </w:r>
            <w:r w:rsidRPr="00A6450B">
              <w:rPr>
                <w:rFonts w:ascii="Times New Roman" w:eastAsia="Times New Roman" w:hAnsi="Times New Roman" w:cs="Times New Roman"/>
                <w:kern w:val="0"/>
                <w:lang w:eastAsia="ru-RU"/>
                <w14:ligatures w14:val="none"/>
              </w:rPr>
              <w:t> Документальні планові перевірки платників податків - фізичних осіб</w:t>
            </w:r>
          </w:p>
        </w:tc>
      </w:tr>
      <w:tr w:rsidR="00A6450B" w:rsidRPr="00A6450B" w14:paraId="59336201" w14:textId="77777777" w:rsidTr="00A6450B">
        <w:trPr>
          <w:trHeight w:val="160"/>
        </w:trPr>
        <w:tc>
          <w:tcPr>
            <w:tcW w:w="350" w:type="pct"/>
            <w:tcBorders>
              <w:top w:val="nil"/>
              <w:left w:val="single" w:sz="6" w:space="0" w:color="auto"/>
              <w:bottom w:val="single" w:sz="6" w:space="0" w:color="auto"/>
              <w:right w:val="single" w:sz="6" w:space="0" w:color="auto"/>
            </w:tcBorders>
            <w:hideMark/>
          </w:tcPr>
          <w:p w14:paraId="53A6092E" w14:textId="77777777" w:rsidR="00A6450B" w:rsidRPr="00A6450B" w:rsidRDefault="00A6450B" w:rsidP="00A6450B">
            <w:pPr>
              <w:spacing w:before="150" w:after="150" w:line="240" w:lineRule="auto"/>
              <w:jc w:val="center"/>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lang w:eastAsia="ru-RU"/>
                <w14:ligatures w14:val="none"/>
              </w:rPr>
              <w:t>3100</w:t>
            </w:r>
          </w:p>
        </w:tc>
        <w:tc>
          <w:tcPr>
            <w:tcW w:w="4600" w:type="pct"/>
            <w:tcBorders>
              <w:top w:val="nil"/>
              <w:left w:val="nil"/>
              <w:bottom w:val="single" w:sz="6" w:space="0" w:color="auto"/>
              <w:right w:val="single" w:sz="6" w:space="0" w:color="auto"/>
            </w:tcBorders>
            <w:hideMark/>
          </w:tcPr>
          <w:p w14:paraId="23BB081F" w14:textId="77777777" w:rsidR="00A6450B" w:rsidRPr="00A6450B" w:rsidRDefault="00A6450B" w:rsidP="00A6450B">
            <w:pPr>
              <w:spacing w:before="150" w:after="150" w:line="240" w:lineRule="auto"/>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lang w:eastAsia="ru-RU"/>
                <w14:ligatures w14:val="none"/>
              </w:rPr>
              <w:t>I група. Платники податків - фізичні особи, у яких обсяг доходу за рік не перевищує 20 млн грн</w:t>
            </w:r>
          </w:p>
        </w:tc>
      </w:tr>
      <w:tr w:rsidR="00A6450B" w:rsidRPr="00A6450B" w14:paraId="0EE34153" w14:textId="77777777" w:rsidTr="00A6450B">
        <w:trPr>
          <w:trHeight w:val="160"/>
        </w:trPr>
        <w:tc>
          <w:tcPr>
            <w:tcW w:w="350" w:type="pct"/>
            <w:tcBorders>
              <w:top w:val="nil"/>
              <w:left w:val="single" w:sz="6" w:space="0" w:color="auto"/>
              <w:bottom w:val="single" w:sz="6" w:space="0" w:color="auto"/>
              <w:right w:val="single" w:sz="6" w:space="0" w:color="auto"/>
            </w:tcBorders>
            <w:hideMark/>
          </w:tcPr>
          <w:p w14:paraId="2343AAEA" w14:textId="77777777" w:rsidR="00A6450B" w:rsidRPr="00A6450B" w:rsidRDefault="00A6450B" w:rsidP="00A6450B">
            <w:pPr>
              <w:spacing w:before="150" w:after="150" w:line="240" w:lineRule="auto"/>
              <w:jc w:val="center"/>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lang w:eastAsia="ru-RU"/>
                <w14:ligatures w14:val="none"/>
              </w:rPr>
              <w:t>3200</w:t>
            </w:r>
          </w:p>
        </w:tc>
        <w:tc>
          <w:tcPr>
            <w:tcW w:w="4600" w:type="pct"/>
            <w:tcBorders>
              <w:top w:val="nil"/>
              <w:left w:val="nil"/>
              <w:bottom w:val="single" w:sz="6" w:space="0" w:color="auto"/>
              <w:right w:val="single" w:sz="6" w:space="0" w:color="auto"/>
            </w:tcBorders>
            <w:hideMark/>
          </w:tcPr>
          <w:p w14:paraId="760091B8" w14:textId="77777777" w:rsidR="00A6450B" w:rsidRPr="00A6450B" w:rsidRDefault="00A6450B" w:rsidP="00A6450B">
            <w:pPr>
              <w:spacing w:before="150" w:after="150" w:line="240" w:lineRule="auto"/>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lang w:eastAsia="ru-RU"/>
                <w14:ligatures w14:val="none"/>
              </w:rPr>
              <w:t>II група. Платники податків - фізичні особи, у яких обсяг доходу за рік становить 20 млн грн або більше та не перевищує 100 млн гривень</w:t>
            </w:r>
          </w:p>
        </w:tc>
      </w:tr>
      <w:tr w:rsidR="00A6450B" w:rsidRPr="00A6450B" w14:paraId="3C9C2F48" w14:textId="77777777" w:rsidTr="00A6450B">
        <w:trPr>
          <w:trHeight w:val="160"/>
        </w:trPr>
        <w:tc>
          <w:tcPr>
            <w:tcW w:w="350" w:type="pct"/>
            <w:tcBorders>
              <w:top w:val="nil"/>
              <w:left w:val="single" w:sz="6" w:space="0" w:color="auto"/>
              <w:bottom w:val="single" w:sz="6" w:space="0" w:color="auto"/>
              <w:right w:val="single" w:sz="6" w:space="0" w:color="auto"/>
            </w:tcBorders>
            <w:hideMark/>
          </w:tcPr>
          <w:p w14:paraId="3F4DBBD5" w14:textId="77777777" w:rsidR="00A6450B" w:rsidRPr="00A6450B" w:rsidRDefault="00A6450B" w:rsidP="00A6450B">
            <w:pPr>
              <w:spacing w:before="150" w:after="150" w:line="240" w:lineRule="auto"/>
              <w:jc w:val="center"/>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lang w:eastAsia="ru-RU"/>
                <w14:ligatures w14:val="none"/>
              </w:rPr>
              <w:t>3300</w:t>
            </w:r>
          </w:p>
        </w:tc>
        <w:tc>
          <w:tcPr>
            <w:tcW w:w="4600" w:type="pct"/>
            <w:tcBorders>
              <w:top w:val="nil"/>
              <w:left w:val="nil"/>
              <w:bottom w:val="single" w:sz="6" w:space="0" w:color="auto"/>
              <w:right w:val="single" w:sz="6" w:space="0" w:color="auto"/>
            </w:tcBorders>
            <w:hideMark/>
          </w:tcPr>
          <w:p w14:paraId="242BBA70" w14:textId="77777777" w:rsidR="00A6450B" w:rsidRPr="00A6450B" w:rsidRDefault="00A6450B" w:rsidP="00A6450B">
            <w:pPr>
              <w:spacing w:before="150" w:after="150" w:line="240" w:lineRule="auto"/>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lang w:eastAsia="ru-RU"/>
                <w14:ligatures w14:val="none"/>
              </w:rPr>
              <w:t>III група. Платники податків - фізичні особи, у яких обсяг доходу за рік перевищує 100 млн грн</w:t>
            </w:r>
          </w:p>
        </w:tc>
      </w:tr>
      <w:tr w:rsidR="00A6450B" w:rsidRPr="00A6450B" w14:paraId="46AACC0B" w14:textId="77777777" w:rsidTr="00A6450B">
        <w:trPr>
          <w:trHeight w:val="160"/>
        </w:trPr>
        <w:tc>
          <w:tcPr>
            <w:tcW w:w="350" w:type="pct"/>
            <w:tcBorders>
              <w:top w:val="nil"/>
              <w:left w:val="single" w:sz="6" w:space="0" w:color="auto"/>
              <w:bottom w:val="single" w:sz="6" w:space="0" w:color="auto"/>
              <w:right w:val="single" w:sz="6" w:space="0" w:color="auto"/>
            </w:tcBorders>
            <w:hideMark/>
          </w:tcPr>
          <w:p w14:paraId="4ECEB9C4" w14:textId="77777777" w:rsidR="00A6450B" w:rsidRPr="00A6450B" w:rsidRDefault="00A6450B" w:rsidP="00A6450B">
            <w:pPr>
              <w:spacing w:before="150" w:after="150" w:line="240" w:lineRule="auto"/>
              <w:jc w:val="center"/>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lang w:eastAsia="ru-RU"/>
                <w14:ligatures w14:val="none"/>
              </w:rPr>
              <w:lastRenderedPageBreak/>
              <w:t>4000</w:t>
            </w:r>
          </w:p>
        </w:tc>
        <w:tc>
          <w:tcPr>
            <w:tcW w:w="4600" w:type="pct"/>
            <w:tcBorders>
              <w:top w:val="nil"/>
              <w:left w:val="nil"/>
              <w:bottom w:val="single" w:sz="6" w:space="0" w:color="auto"/>
              <w:right w:val="single" w:sz="6" w:space="0" w:color="auto"/>
            </w:tcBorders>
            <w:hideMark/>
          </w:tcPr>
          <w:p w14:paraId="6BB98185" w14:textId="77777777" w:rsidR="00A6450B" w:rsidRPr="00A6450B" w:rsidRDefault="00A6450B" w:rsidP="00A6450B">
            <w:pPr>
              <w:spacing w:before="150" w:after="150" w:line="240" w:lineRule="auto"/>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i/>
                <w:iCs/>
                <w:kern w:val="0"/>
                <w:lang w:eastAsia="ru-RU"/>
                <w14:ligatures w14:val="none"/>
              </w:rPr>
              <w:t>розділ IV.</w:t>
            </w:r>
            <w:r w:rsidRPr="00A6450B">
              <w:rPr>
                <w:rFonts w:ascii="Times New Roman" w:eastAsia="Times New Roman" w:hAnsi="Times New Roman" w:cs="Times New Roman"/>
                <w:kern w:val="0"/>
                <w:lang w:eastAsia="ru-RU"/>
                <w14:ligatures w14:val="none"/>
              </w:rPr>
              <w:t> Документальні планові перевірки платників податків - юридичних осіб з питань правильності обчислення, повноти і своєчасності сплати податку на доходи фізичних осіб, військового збору та єдиного внеску на загальнообов’язкове державне соціальне страхування</w:t>
            </w:r>
          </w:p>
        </w:tc>
      </w:tr>
      <w:tr w:rsidR="00A6450B" w:rsidRPr="00A6450B" w14:paraId="38384E9E" w14:textId="77777777" w:rsidTr="00A6450B">
        <w:trPr>
          <w:trHeight w:val="160"/>
        </w:trPr>
        <w:tc>
          <w:tcPr>
            <w:tcW w:w="350" w:type="pct"/>
            <w:tcBorders>
              <w:top w:val="nil"/>
              <w:left w:val="single" w:sz="6" w:space="0" w:color="auto"/>
              <w:bottom w:val="single" w:sz="6" w:space="0" w:color="auto"/>
              <w:right w:val="single" w:sz="6" w:space="0" w:color="auto"/>
            </w:tcBorders>
            <w:hideMark/>
          </w:tcPr>
          <w:p w14:paraId="21629E16" w14:textId="77777777" w:rsidR="00A6450B" w:rsidRPr="00A6450B" w:rsidRDefault="00A6450B" w:rsidP="00A6450B">
            <w:pPr>
              <w:spacing w:before="150" w:after="150" w:line="240" w:lineRule="auto"/>
              <w:jc w:val="center"/>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lang w:eastAsia="ru-RU"/>
                <w14:ligatures w14:val="none"/>
              </w:rPr>
              <w:t>4100</w:t>
            </w:r>
          </w:p>
        </w:tc>
        <w:tc>
          <w:tcPr>
            <w:tcW w:w="4600" w:type="pct"/>
            <w:tcBorders>
              <w:top w:val="nil"/>
              <w:left w:val="nil"/>
              <w:bottom w:val="single" w:sz="6" w:space="0" w:color="auto"/>
              <w:right w:val="single" w:sz="6" w:space="0" w:color="auto"/>
            </w:tcBorders>
            <w:hideMark/>
          </w:tcPr>
          <w:p w14:paraId="5F576E88" w14:textId="77777777" w:rsidR="00A6450B" w:rsidRPr="00A6450B" w:rsidRDefault="00A6450B" w:rsidP="00A6450B">
            <w:pPr>
              <w:spacing w:before="150" w:after="150" w:line="240" w:lineRule="auto"/>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lang w:eastAsia="ru-RU"/>
                <w14:ligatures w14:val="none"/>
              </w:rPr>
              <w:t>I група. Великі платники - платники податків - юридичні особи, які мають чисельність найманих працівників понад 250 осіб</w:t>
            </w:r>
          </w:p>
        </w:tc>
      </w:tr>
      <w:tr w:rsidR="00A6450B" w:rsidRPr="00A6450B" w14:paraId="6D873950" w14:textId="77777777" w:rsidTr="00A6450B">
        <w:trPr>
          <w:trHeight w:val="160"/>
        </w:trPr>
        <w:tc>
          <w:tcPr>
            <w:tcW w:w="350" w:type="pct"/>
            <w:tcBorders>
              <w:top w:val="nil"/>
              <w:left w:val="single" w:sz="6" w:space="0" w:color="auto"/>
              <w:bottom w:val="single" w:sz="6" w:space="0" w:color="auto"/>
              <w:right w:val="single" w:sz="6" w:space="0" w:color="auto"/>
            </w:tcBorders>
            <w:hideMark/>
          </w:tcPr>
          <w:p w14:paraId="632CDCDC" w14:textId="77777777" w:rsidR="00A6450B" w:rsidRPr="00A6450B" w:rsidRDefault="00A6450B" w:rsidP="00A6450B">
            <w:pPr>
              <w:spacing w:before="150" w:after="150" w:line="240" w:lineRule="auto"/>
              <w:jc w:val="center"/>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lang w:eastAsia="ru-RU"/>
                <w14:ligatures w14:val="none"/>
              </w:rPr>
              <w:t>4200</w:t>
            </w:r>
          </w:p>
        </w:tc>
        <w:tc>
          <w:tcPr>
            <w:tcW w:w="4600" w:type="pct"/>
            <w:tcBorders>
              <w:top w:val="nil"/>
              <w:left w:val="nil"/>
              <w:bottom w:val="single" w:sz="6" w:space="0" w:color="auto"/>
              <w:right w:val="single" w:sz="6" w:space="0" w:color="auto"/>
            </w:tcBorders>
            <w:hideMark/>
          </w:tcPr>
          <w:p w14:paraId="4B21DF7A" w14:textId="77777777" w:rsidR="00A6450B" w:rsidRPr="00A6450B" w:rsidRDefault="00A6450B" w:rsidP="00A6450B">
            <w:pPr>
              <w:spacing w:before="150" w:after="150" w:line="240" w:lineRule="auto"/>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lang w:eastAsia="ru-RU"/>
                <w14:ligatures w14:val="none"/>
              </w:rPr>
              <w:t>II група. Середні платники - платники податків - юридичні особи, які мають чисельність найманих працівників від 50 до 250 осіб</w:t>
            </w:r>
          </w:p>
        </w:tc>
      </w:tr>
      <w:tr w:rsidR="00A6450B" w:rsidRPr="00A6450B" w14:paraId="12D723E5" w14:textId="77777777" w:rsidTr="00A6450B">
        <w:trPr>
          <w:trHeight w:val="160"/>
        </w:trPr>
        <w:tc>
          <w:tcPr>
            <w:tcW w:w="350" w:type="pct"/>
            <w:tcBorders>
              <w:top w:val="nil"/>
              <w:left w:val="single" w:sz="6" w:space="0" w:color="auto"/>
              <w:bottom w:val="single" w:sz="6" w:space="0" w:color="auto"/>
              <w:right w:val="single" w:sz="6" w:space="0" w:color="auto"/>
            </w:tcBorders>
            <w:hideMark/>
          </w:tcPr>
          <w:p w14:paraId="77AEA4C6" w14:textId="77777777" w:rsidR="00A6450B" w:rsidRPr="00A6450B" w:rsidRDefault="00A6450B" w:rsidP="00A6450B">
            <w:pPr>
              <w:spacing w:before="150" w:after="150" w:line="240" w:lineRule="auto"/>
              <w:jc w:val="center"/>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lang w:eastAsia="ru-RU"/>
                <w14:ligatures w14:val="none"/>
              </w:rPr>
              <w:t>4300</w:t>
            </w:r>
          </w:p>
        </w:tc>
        <w:tc>
          <w:tcPr>
            <w:tcW w:w="4600" w:type="pct"/>
            <w:tcBorders>
              <w:top w:val="nil"/>
              <w:left w:val="nil"/>
              <w:bottom w:val="single" w:sz="6" w:space="0" w:color="auto"/>
              <w:right w:val="single" w:sz="6" w:space="0" w:color="auto"/>
            </w:tcBorders>
            <w:hideMark/>
          </w:tcPr>
          <w:p w14:paraId="01F443BC" w14:textId="77777777" w:rsidR="00A6450B" w:rsidRPr="00A6450B" w:rsidRDefault="00A6450B" w:rsidP="00A6450B">
            <w:pPr>
              <w:spacing w:before="150" w:after="150" w:line="240" w:lineRule="auto"/>
              <w:rPr>
                <w:rFonts w:ascii="Times New Roman" w:eastAsia="Times New Roman" w:hAnsi="Times New Roman" w:cs="Times New Roman"/>
                <w:kern w:val="0"/>
                <w:lang w:eastAsia="ru-RU"/>
                <w14:ligatures w14:val="none"/>
              </w:rPr>
            </w:pPr>
            <w:r w:rsidRPr="00A6450B">
              <w:rPr>
                <w:rFonts w:ascii="Times New Roman" w:eastAsia="Times New Roman" w:hAnsi="Times New Roman" w:cs="Times New Roman"/>
                <w:kern w:val="0"/>
                <w:lang w:eastAsia="ru-RU"/>
                <w14:ligatures w14:val="none"/>
              </w:rPr>
              <w:t>III група. Малі платники - платники податків - юридичні особи, які мають чисельність найманих працівників менше ніж 50 осіб</w:t>
            </w:r>
          </w:p>
        </w:tc>
      </w:tr>
    </w:tbl>
    <w:p w14:paraId="6288BC31" w14:textId="77777777" w:rsidR="00A6450B" w:rsidRPr="00A6450B" w:rsidRDefault="00A6450B" w:rsidP="00A6450B">
      <w:pPr>
        <w:spacing w:after="150" w:line="240" w:lineRule="auto"/>
        <w:jc w:val="center"/>
        <w:rPr>
          <w:rFonts w:ascii="Times New Roman" w:eastAsia="Times New Roman" w:hAnsi="Times New Roman" w:cs="Times New Roman"/>
          <w:i/>
          <w:iCs/>
          <w:color w:val="999999"/>
          <w:kern w:val="0"/>
          <w:lang w:eastAsia="ru-RU"/>
          <w14:ligatures w14:val="none"/>
        </w:rPr>
      </w:pPr>
      <w:bookmarkStart w:id="330" w:name="n528"/>
      <w:bookmarkEnd w:id="330"/>
      <w:r w:rsidRPr="00A6450B">
        <w:rPr>
          <w:rFonts w:ascii="Times New Roman" w:eastAsia="Times New Roman" w:hAnsi="Times New Roman" w:cs="Times New Roman"/>
          <w:i/>
          <w:iCs/>
          <w:color w:val="999999"/>
          <w:kern w:val="0"/>
          <w:lang w:eastAsia="ru-RU"/>
          <w14:ligatures w14:val="none"/>
        </w:rPr>
        <w:t>{Додаток 3 в редакції Наказів Міністерства фінансів </w:t>
      </w:r>
      <w:hyperlink r:id="rId66" w:anchor="n6" w:tgtFrame="_blank" w:history="1">
        <w:r w:rsidRPr="00A6450B">
          <w:rPr>
            <w:rFonts w:ascii="Times New Roman" w:eastAsia="Times New Roman" w:hAnsi="Times New Roman" w:cs="Times New Roman"/>
            <w:i/>
            <w:iCs/>
            <w:color w:val="666666"/>
            <w:kern w:val="0"/>
            <w:u w:val="single"/>
            <w:lang w:eastAsia="ru-RU"/>
            <w14:ligatures w14:val="none"/>
          </w:rPr>
          <w:t>№ 723 від 04.08.2016</w:t>
        </w:r>
      </w:hyperlink>
      <w:r w:rsidRPr="00A6450B">
        <w:rPr>
          <w:rFonts w:ascii="Times New Roman" w:eastAsia="Times New Roman" w:hAnsi="Times New Roman" w:cs="Times New Roman"/>
          <w:i/>
          <w:iCs/>
          <w:color w:val="999999"/>
          <w:kern w:val="0"/>
          <w:lang w:eastAsia="ru-RU"/>
          <w14:ligatures w14:val="none"/>
        </w:rPr>
        <w:t>, </w:t>
      </w:r>
      <w:hyperlink r:id="rId67" w:anchor="n322" w:tgtFrame="_blank" w:history="1">
        <w:r w:rsidRPr="00A6450B">
          <w:rPr>
            <w:rFonts w:ascii="Times New Roman" w:eastAsia="Times New Roman" w:hAnsi="Times New Roman" w:cs="Times New Roman"/>
            <w:i/>
            <w:iCs/>
            <w:color w:val="666666"/>
            <w:kern w:val="0"/>
            <w:u w:val="single"/>
            <w:lang w:eastAsia="ru-RU"/>
            <w14:ligatures w14:val="none"/>
          </w:rPr>
          <w:t>№ 386 від 26.03.2018</w:t>
        </w:r>
      </w:hyperlink>
      <w:r w:rsidRPr="00A6450B">
        <w:rPr>
          <w:rFonts w:ascii="Times New Roman" w:eastAsia="Times New Roman" w:hAnsi="Times New Roman" w:cs="Times New Roman"/>
          <w:i/>
          <w:iCs/>
          <w:color w:val="999999"/>
          <w:kern w:val="0"/>
          <w:lang w:eastAsia="ru-RU"/>
          <w14:ligatures w14:val="none"/>
        </w:rPr>
        <w:t>, </w:t>
      </w:r>
      <w:hyperlink r:id="rId68" w:anchor="n2107" w:tgtFrame="_blank" w:history="1">
        <w:r w:rsidRPr="00A6450B">
          <w:rPr>
            <w:rFonts w:ascii="Times New Roman" w:eastAsia="Times New Roman" w:hAnsi="Times New Roman" w:cs="Times New Roman"/>
            <w:i/>
            <w:iCs/>
            <w:color w:val="666666"/>
            <w:kern w:val="0"/>
            <w:u w:val="single"/>
            <w:lang w:eastAsia="ru-RU"/>
            <w14:ligatures w14:val="none"/>
          </w:rPr>
          <w:t>548 від 07.09.2020</w:t>
        </w:r>
      </w:hyperlink>
      <w:r w:rsidRPr="00A6450B">
        <w:rPr>
          <w:rFonts w:ascii="Times New Roman" w:eastAsia="Times New Roman" w:hAnsi="Times New Roman" w:cs="Times New Roman"/>
          <w:i/>
          <w:iCs/>
          <w:color w:val="999999"/>
          <w:kern w:val="0"/>
          <w:lang w:eastAsia="ru-RU"/>
          <w14:ligatures w14:val="none"/>
        </w:rPr>
        <w:t>, </w:t>
      </w:r>
      <w:hyperlink r:id="rId69" w:anchor="n54" w:tgtFrame="_blank" w:history="1">
        <w:r w:rsidRPr="00A6450B">
          <w:rPr>
            <w:rFonts w:ascii="Times New Roman" w:eastAsia="Times New Roman" w:hAnsi="Times New Roman" w:cs="Times New Roman"/>
            <w:i/>
            <w:iCs/>
            <w:color w:val="666666"/>
            <w:kern w:val="0"/>
            <w:u w:val="single"/>
            <w:lang w:eastAsia="ru-RU"/>
            <w14:ligatures w14:val="none"/>
          </w:rPr>
          <w:t>№ 655 від 10.12.2021</w:t>
        </w:r>
      </w:hyperlink>
      <w:r w:rsidRPr="00A6450B">
        <w:rPr>
          <w:rFonts w:ascii="Times New Roman" w:eastAsia="Times New Roman" w:hAnsi="Times New Roman" w:cs="Times New Roman"/>
          <w:i/>
          <w:iCs/>
          <w:color w:val="999999"/>
          <w:kern w:val="0"/>
          <w:lang w:eastAsia="ru-RU"/>
          <w14:ligatures w14:val="none"/>
        </w:rPr>
        <w:t>}</w:t>
      </w:r>
    </w:p>
    <w:p w14:paraId="32A896E4" w14:textId="77777777" w:rsidR="00A6450B" w:rsidRPr="00A6450B" w:rsidRDefault="00A6450B" w:rsidP="00A6450B">
      <w:pPr>
        <w:spacing w:after="0" w:line="240" w:lineRule="auto"/>
        <w:rPr>
          <w:rFonts w:ascii="Times New Roman" w:eastAsia="Times New Roman" w:hAnsi="Times New Roman" w:cs="Times New Roman"/>
          <w:kern w:val="0"/>
          <w:lang w:eastAsia="ru-RU"/>
          <w14:ligatures w14:val="none"/>
        </w:rPr>
      </w:pPr>
    </w:p>
    <w:p w14:paraId="7606FB37" w14:textId="77777777" w:rsidR="00F940A0" w:rsidRDefault="00F940A0"/>
    <w:sectPr w:rsidR="00F940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50B"/>
    <w:rsid w:val="004316EE"/>
    <w:rsid w:val="007775D7"/>
    <w:rsid w:val="007C550C"/>
    <w:rsid w:val="009841F6"/>
    <w:rsid w:val="00A6450B"/>
    <w:rsid w:val="00B07C6C"/>
    <w:rsid w:val="00BA6EB6"/>
    <w:rsid w:val="00F940A0"/>
    <w:rsid w:val="00FF5BF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11B84"/>
  <w15:chartTrackingRefBased/>
  <w15:docId w15:val="{7EEB57B6-C9F8-8347-9805-91BCCF65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A645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645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6450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6450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6450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6450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6450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6450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6450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450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6450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6450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6450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6450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6450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6450B"/>
    <w:rPr>
      <w:rFonts w:eastAsiaTheme="majorEastAsia" w:cstheme="majorBidi"/>
      <w:color w:val="595959" w:themeColor="text1" w:themeTint="A6"/>
    </w:rPr>
  </w:style>
  <w:style w:type="character" w:customStyle="1" w:styleId="80">
    <w:name w:val="Заголовок 8 Знак"/>
    <w:basedOn w:val="a0"/>
    <w:link w:val="8"/>
    <w:uiPriority w:val="9"/>
    <w:semiHidden/>
    <w:rsid w:val="00A6450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6450B"/>
    <w:rPr>
      <w:rFonts w:eastAsiaTheme="majorEastAsia" w:cstheme="majorBidi"/>
      <w:color w:val="272727" w:themeColor="text1" w:themeTint="D8"/>
    </w:rPr>
  </w:style>
  <w:style w:type="paragraph" w:styleId="a3">
    <w:name w:val="Title"/>
    <w:basedOn w:val="a"/>
    <w:next w:val="a"/>
    <w:link w:val="a4"/>
    <w:uiPriority w:val="10"/>
    <w:qFormat/>
    <w:rsid w:val="00A645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A645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50B"/>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A6450B"/>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6450B"/>
    <w:pPr>
      <w:spacing w:before="160"/>
      <w:jc w:val="center"/>
    </w:pPr>
    <w:rPr>
      <w:i/>
      <w:iCs/>
      <w:color w:val="404040" w:themeColor="text1" w:themeTint="BF"/>
    </w:rPr>
  </w:style>
  <w:style w:type="character" w:customStyle="1" w:styleId="a8">
    <w:name w:val="Цитата Знак"/>
    <w:basedOn w:val="a0"/>
    <w:link w:val="a7"/>
    <w:uiPriority w:val="29"/>
    <w:rsid w:val="00A6450B"/>
    <w:rPr>
      <w:i/>
      <w:iCs/>
      <w:color w:val="404040" w:themeColor="text1" w:themeTint="BF"/>
    </w:rPr>
  </w:style>
  <w:style w:type="paragraph" w:styleId="a9">
    <w:name w:val="List Paragraph"/>
    <w:basedOn w:val="a"/>
    <w:uiPriority w:val="34"/>
    <w:qFormat/>
    <w:rsid w:val="00A6450B"/>
    <w:pPr>
      <w:ind w:left="720"/>
      <w:contextualSpacing/>
    </w:pPr>
  </w:style>
  <w:style w:type="character" w:styleId="aa">
    <w:name w:val="Intense Emphasis"/>
    <w:basedOn w:val="a0"/>
    <w:uiPriority w:val="21"/>
    <w:qFormat/>
    <w:rsid w:val="00A6450B"/>
    <w:rPr>
      <w:i/>
      <w:iCs/>
      <w:color w:val="2F5496" w:themeColor="accent1" w:themeShade="BF"/>
    </w:rPr>
  </w:style>
  <w:style w:type="paragraph" w:styleId="ab">
    <w:name w:val="Intense Quote"/>
    <w:basedOn w:val="a"/>
    <w:next w:val="a"/>
    <w:link w:val="ac"/>
    <w:uiPriority w:val="30"/>
    <w:qFormat/>
    <w:rsid w:val="00A645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A6450B"/>
    <w:rPr>
      <w:i/>
      <w:iCs/>
      <w:color w:val="2F5496" w:themeColor="accent1" w:themeShade="BF"/>
    </w:rPr>
  </w:style>
  <w:style w:type="character" w:styleId="ad">
    <w:name w:val="Intense Reference"/>
    <w:basedOn w:val="a0"/>
    <w:uiPriority w:val="32"/>
    <w:qFormat/>
    <w:rsid w:val="00A6450B"/>
    <w:rPr>
      <w:b/>
      <w:bCs/>
      <w:smallCaps/>
      <w:color w:val="2F5496" w:themeColor="accent1" w:themeShade="BF"/>
      <w:spacing w:val="5"/>
    </w:rPr>
  </w:style>
  <w:style w:type="paragraph" w:customStyle="1" w:styleId="msonormal0">
    <w:name w:val="msonormal"/>
    <w:basedOn w:val="a"/>
    <w:rsid w:val="00A6450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rvps4">
    <w:name w:val="rvps4"/>
    <w:basedOn w:val="a"/>
    <w:rsid w:val="00A6450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rvps1">
    <w:name w:val="rvps1"/>
    <w:basedOn w:val="a"/>
    <w:rsid w:val="00A6450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rvts15">
    <w:name w:val="rvts15"/>
    <w:basedOn w:val="a0"/>
    <w:rsid w:val="00A6450B"/>
  </w:style>
  <w:style w:type="character" w:customStyle="1" w:styleId="rvts23">
    <w:name w:val="rvts23"/>
    <w:basedOn w:val="a0"/>
    <w:rsid w:val="00A6450B"/>
  </w:style>
  <w:style w:type="paragraph" w:customStyle="1" w:styleId="rvps7">
    <w:name w:val="rvps7"/>
    <w:basedOn w:val="a"/>
    <w:rsid w:val="00A6450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rvts9">
    <w:name w:val="rvts9"/>
    <w:basedOn w:val="a0"/>
    <w:rsid w:val="00A6450B"/>
  </w:style>
  <w:style w:type="paragraph" w:customStyle="1" w:styleId="rvps14">
    <w:name w:val="rvps14"/>
    <w:basedOn w:val="a"/>
    <w:rsid w:val="00A6450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rvps6">
    <w:name w:val="rvps6"/>
    <w:basedOn w:val="a"/>
    <w:rsid w:val="00A6450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styleId="ae">
    <w:name w:val="Emphasis"/>
    <w:basedOn w:val="a0"/>
    <w:uiPriority w:val="20"/>
    <w:qFormat/>
    <w:rsid w:val="00A6450B"/>
    <w:rPr>
      <w:i/>
      <w:iCs/>
    </w:rPr>
  </w:style>
  <w:style w:type="paragraph" w:customStyle="1" w:styleId="rvps18">
    <w:name w:val="rvps18"/>
    <w:basedOn w:val="a"/>
    <w:rsid w:val="00A6450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apple-converted-space">
    <w:name w:val="apple-converted-space"/>
    <w:basedOn w:val="a0"/>
    <w:rsid w:val="00A6450B"/>
  </w:style>
  <w:style w:type="character" w:styleId="af">
    <w:name w:val="Hyperlink"/>
    <w:basedOn w:val="a0"/>
    <w:uiPriority w:val="99"/>
    <w:semiHidden/>
    <w:unhideWhenUsed/>
    <w:rsid w:val="00A6450B"/>
    <w:rPr>
      <w:color w:val="0000FF"/>
      <w:u w:val="single"/>
    </w:rPr>
  </w:style>
  <w:style w:type="character" w:styleId="af0">
    <w:name w:val="FollowedHyperlink"/>
    <w:basedOn w:val="a0"/>
    <w:uiPriority w:val="99"/>
    <w:semiHidden/>
    <w:unhideWhenUsed/>
    <w:rsid w:val="00A6450B"/>
    <w:rPr>
      <w:color w:val="800080"/>
      <w:u w:val="single"/>
    </w:rPr>
  </w:style>
  <w:style w:type="paragraph" w:customStyle="1" w:styleId="rvps2">
    <w:name w:val="rvps2"/>
    <w:basedOn w:val="a"/>
    <w:rsid w:val="00A6450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rvts52">
    <w:name w:val="rvts52"/>
    <w:basedOn w:val="a0"/>
    <w:rsid w:val="00A6450B"/>
  </w:style>
  <w:style w:type="character" w:customStyle="1" w:styleId="rvts44">
    <w:name w:val="rvts44"/>
    <w:basedOn w:val="a0"/>
    <w:rsid w:val="00A6450B"/>
  </w:style>
  <w:style w:type="paragraph" w:customStyle="1" w:styleId="rvps15">
    <w:name w:val="rvps15"/>
    <w:basedOn w:val="a"/>
    <w:rsid w:val="00A6450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rvps11">
    <w:name w:val="rvps11"/>
    <w:basedOn w:val="a"/>
    <w:rsid w:val="00A6450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rvps8">
    <w:name w:val="rvps8"/>
    <w:basedOn w:val="a"/>
    <w:rsid w:val="00A6450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styleId="af1">
    <w:name w:val="Normal (Web)"/>
    <w:basedOn w:val="a"/>
    <w:uiPriority w:val="99"/>
    <w:semiHidden/>
    <w:unhideWhenUsed/>
    <w:rsid w:val="00A6450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rvts11">
    <w:name w:val="rvts11"/>
    <w:basedOn w:val="a0"/>
    <w:rsid w:val="00A6450B"/>
  </w:style>
  <w:style w:type="character" w:customStyle="1" w:styleId="rvts46">
    <w:name w:val="rvts46"/>
    <w:basedOn w:val="a0"/>
    <w:rsid w:val="00A6450B"/>
  </w:style>
  <w:style w:type="character" w:customStyle="1" w:styleId="rvts82">
    <w:name w:val="rvts82"/>
    <w:basedOn w:val="a0"/>
    <w:rsid w:val="00A6450B"/>
  </w:style>
  <w:style w:type="paragraph" w:customStyle="1" w:styleId="rvps12">
    <w:name w:val="rvps12"/>
    <w:basedOn w:val="a"/>
    <w:rsid w:val="00A6450B"/>
    <w:pPr>
      <w:spacing w:before="100" w:beforeAutospacing="1" w:after="100" w:afterAutospacing="1" w:line="240" w:lineRule="auto"/>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186859">
      <w:bodyDiv w:val="1"/>
      <w:marLeft w:val="0"/>
      <w:marRight w:val="0"/>
      <w:marTop w:val="0"/>
      <w:marBottom w:val="0"/>
      <w:divBdr>
        <w:top w:val="none" w:sz="0" w:space="0" w:color="auto"/>
        <w:left w:val="none" w:sz="0" w:space="0" w:color="auto"/>
        <w:bottom w:val="none" w:sz="0" w:space="0" w:color="auto"/>
        <w:right w:val="none" w:sz="0" w:space="0" w:color="auto"/>
      </w:divBdr>
      <w:divsChild>
        <w:div w:id="1380595797">
          <w:marLeft w:val="0"/>
          <w:marRight w:val="0"/>
          <w:marTop w:val="150"/>
          <w:marBottom w:val="150"/>
          <w:divBdr>
            <w:top w:val="none" w:sz="0" w:space="0" w:color="auto"/>
            <w:left w:val="none" w:sz="0" w:space="0" w:color="auto"/>
            <w:bottom w:val="none" w:sz="0" w:space="0" w:color="auto"/>
            <w:right w:val="none" w:sz="0" w:space="0" w:color="auto"/>
          </w:divBdr>
        </w:div>
        <w:div w:id="546531387">
          <w:marLeft w:val="0"/>
          <w:marRight w:val="0"/>
          <w:marTop w:val="0"/>
          <w:marBottom w:val="150"/>
          <w:divBdr>
            <w:top w:val="none" w:sz="0" w:space="0" w:color="auto"/>
            <w:left w:val="none" w:sz="0" w:space="0" w:color="auto"/>
            <w:bottom w:val="none" w:sz="0" w:space="0" w:color="auto"/>
            <w:right w:val="none" w:sz="0" w:space="0" w:color="auto"/>
          </w:divBdr>
        </w:div>
        <w:div w:id="854031991">
          <w:marLeft w:val="0"/>
          <w:marRight w:val="0"/>
          <w:marTop w:val="0"/>
          <w:marBottom w:val="150"/>
          <w:divBdr>
            <w:top w:val="none" w:sz="0" w:space="0" w:color="auto"/>
            <w:left w:val="none" w:sz="0" w:space="0" w:color="auto"/>
            <w:bottom w:val="none" w:sz="0" w:space="0" w:color="auto"/>
            <w:right w:val="none" w:sz="0" w:space="0" w:color="auto"/>
          </w:divBdr>
        </w:div>
        <w:div w:id="672804042">
          <w:marLeft w:val="0"/>
          <w:marRight w:val="0"/>
          <w:marTop w:val="0"/>
          <w:marBottom w:val="150"/>
          <w:divBdr>
            <w:top w:val="none" w:sz="0" w:space="0" w:color="auto"/>
            <w:left w:val="none" w:sz="0" w:space="0" w:color="auto"/>
            <w:bottom w:val="none" w:sz="0" w:space="0" w:color="auto"/>
            <w:right w:val="none" w:sz="0" w:space="0" w:color="auto"/>
          </w:divBdr>
        </w:div>
        <w:div w:id="1709600958">
          <w:marLeft w:val="0"/>
          <w:marRight w:val="0"/>
          <w:marTop w:val="0"/>
          <w:marBottom w:val="150"/>
          <w:divBdr>
            <w:top w:val="none" w:sz="0" w:space="0" w:color="auto"/>
            <w:left w:val="none" w:sz="0" w:space="0" w:color="auto"/>
            <w:bottom w:val="none" w:sz="0" w:space="0" w:color="auto"/>
            <w:right w:val="none" w:sz="0" w:space="0" w:color="auto"/>
          </w:divBdr>
        </w:div>
        <w:div w:id="1934850406">
          <w:marLeft w:val="0"/>
          <w:marRight w:val="0"/>
          <w:marTop w:val="150"/>
          <w:marBottom w:val="150"/>
          <w:divBdr>
            <w:top w:val="none" w:sz="0" w:space="0" w:color="auto"/>
            <w:left w:val="none" w:sz="0" w:space="0" w:color="auto"/>
            <w:bottom w:val="none" w:sz="0" w:space="0" w:color="auto"/>
            <w:right w:val="none" w:sz="0" w:space="0" w:color="auto"/>
          </w:divBdr>
        </w:div>
        <w:div w:id="1794249861">
          <w:marLeft w:val="0"/>
          <w:marRight w:val="0"/>
          <w:marTop w:val="0"/>
          <w:marBottom w:val="150"/>
          <w:divBdr>
            <w:top w:val="none" w:sz="0" w:space="0" w:color="auto"/>
            <w:left w:val="none" w:sz="0" w:space="0" w:color="auto"/>
            <w:bottom w:val="none" w:sz="0" w:space="0" w:color="auto"/>
            <w:right w:val="none" w:sz="0" w:space="0" w:color="auto"/>
          </w:divBdr>
        </w:div>
        <w:div w:id="2053847064">
          <w:marLeft w:val="0"/>
          <w:marRight w:val="0"/>
          <w:marTop w:val="150"/>
          <w:marBottom w:val="150"/>
          <w:divBdr>
            <w:top w:val="none" w:sz="0" w:space="0" w:color="auto"/>
            <w:left w:val="none" w:sz="0" w:space="0" w:color="auto"/>
            <w:bottom w:val="none" w:sz="0" w:space="0" w:color="auto"/>
            <w:right w:val="none" w:sz="0" w:space="0" w:color="auto"/>
          </w:divBdr>
        </w:div>
        <w:div w:id="97062813">
          <w:marLeft w:val="0"/>
          <w:marRight w:val="0"/>
          <w:marTop w:val="0"/>
          <w:marBottom w:val="150"/>
          <w:divBdr>
            <w:top w:val="none" w:sz="0" w:space="0" w:color="auto"/>
            <w:left w:val="none" w:sz="0" w:space="0" w:color="auto"/>
            <w:bottom w:val="none" w:sz="0" w:space="0" w:color="auto"/>
            <w:right w:val="none" w:sz="0" w:space="0" w:color="auto"/>
          </w:divBdr>
        </w:div>
        <w:div w:id="207850530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z0111-15" TargetMode="External"/><Relationship Id="rId21" Type="http://schemas.openxmlformats.org/officeDocument/2006/relationships/hyperlink" Target="https://zakon.rada.gov.ua/laws/show/2341-14" TargetMode="External"/><Relationship Id="rId42" Type="http://schemas.openxmlformats.org/officeDocument/2006/relationships/hyperlink" Target="https://zakon.rada.gov.ua/laws/show/z0111-15" TargetMode="External"/><Relationship Id="rId47" Type="http://schemas.openxmlformats.org/officeDocument/2006/relationships/hyperlink" Target="https://zakon.rada.gov.ua/laws/show/z0099-22" TargetMode="External"/><Relationship Id="rId63" Type="http://schemas.openxmlformats.org/officeDocument/2006/relationships/hyperlink" Target="https://zakon.rada.gov.ua/laws/show/z0465-18" TargetMode="External"/><Relationship Id="rId68" Type="http://schemas.openxmlformats.org/officeDocument/2006/relationships/hyperlink" Target="https://zakon.rada.gov.ua/laws/show/z1064-20" TargetMode="External"/><Relationship Id="rId7" Type="http://schemas.openxmlformats.org/officeDocument/2006/relationships/hyperlink" Target="https://zakon.rada.gov.ua/laws/show/2755-17"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zakon.rada.gov.ua/laws/show/z0099-22" TargetMode="External"/><Relationship Id="rId29" Type="http://schemas.openxmlformats.org/officeDocument/2006/relationships/hyperlink" Target="https://zakon.rada.gov.ua/laws/show/z0099-22" TargetMode="External"/><Relationship Id="rId11" Type="http://schemas.openxmlformats.org/officeDocument/2006/relationships/hyperlink" Target="https://zakon.rada.gov.ua/laws/show/z0099-22" TargetMode="External"/><Relationship Id="rId24" Type="http://schemas.openxmlformats.org/officeDocument/2006/relationships/hyperlink" Target="https://zakon.rada.gov.ua/laws/show/z0099-22" TargetMode="External"/><Relationship Id="rId32" Type="http://schemas.openxmlformats.org/officeDocument/2006/relationships/hyperlink" Target="https://zakon.rada.gov.ua/laws/show/z0099-22" TargetMode="External"/><Relationship Id="rId37" Type="http://schemas.openxmlformats.org/officeDocument/2006/relationships/hyperlink" Target="https://zakon.rada.gov.ua/laws/show/z0099-22" TargetMode="External"/><Relationship Id="rId40" Type="http://schemas.openxmlformats.org/officeDocument/2006/relationships/hyperlink" Target="https://zakon.rada.gov.ua/laws/show/2341-14" TargetMode="External"/><Relationship Id="rId45" Type="http://schemas.openxmlformats.org/officeDocument/2006/relationships/hyperlink" Target="https://zakon.rada.gov.ua/laws/show/z0099-22" TargetMode="External"/><Relationship Id="rId53" Type="http://schemas.openxmlformats.org/officeDocument/2006/relationships/hyperlink" Target="https://zakon.rada.gov.ua/laws/show/z0111-15" TargetMode="External"/><Relationship Id="rId58" Type="http://schemas.openxmlformats.org/officeDocument/2006/relationships/hyperlink" Target="https://zakon.rada.gov.ua/laws/show/z1177-16" TargetMode="External"/><Relationship Id="rId66" Type="http://schemas.openxmlformats.org/officeDocument/2006/relationships/hyperlink" Target="https://zakon.rada.gov.ua/laws/show/z1177-16" TargetMode="External"/><Relationship Id="rId5" Type="http://schemas.openxmlformats.org/officeDocument/2006/relationships/hyperlink" Target="https://zakon.rada.gov.ua/laws/show/2755-17" TargetMode="External"/><Relationship Id="rId61" Type="http://schemas.openxmlformats.org/officeDocument/2006/relationships/hyperlink" Target="https://zakon.rada.gov.ua/laws/show/z0099-22" TargetMode="External"/><Relationship Id="rId19" Type="http://schemas.openxmlformats.org/officeDocument/2006/relationships/hyperlink" Target="https://zakon.rada.gov.ua/laws/show/z0099-22" TargetMode="External"/><Relationship Id="rId14" Type="http://schemas.openxmlformats.org/officeDocument/2006/relationships/hyperlink" Target="https://zakon.rada.gov.ua/laws/show/436-15" TargetMode="External"/><Relationship Id="rId22" Type="http://schemas.openxmlformats.org/officeDocument/2006/relationships/hyperlink" Target="https://zakon.rada.gov.ua/laws/show/2341-14" TargetMode="External"/><Relationship Id="rId27" Type="http://schemas.openxmlformats.org/officeDocument/2006/relationships/hyperlink" Target="https://zakon.rada.gov.ua/laws/show/z0099-22" TargetMode="External"/><Relationship Id="rId30" Type="http://schemas.openxmlformats.org/officeDocument/2006/relationships/hyperlink" Target="https://zakon.rada.gov.ua/laws/show/2755-17" TargetMode="External"/><Relationship Id="rId35" Type="http://schemas.openxmlformats.org/officeDocument/2006/relationships/hyperlink" Target="https://zakon.rada.gov.ua/laws/show/z0111-15" TargetMode="External"/><Relationship Id="rId43" Type="http://schemas.openxmlformats.org/officeDocument/2006/relationships/hyperlink" Target="https://zakon.rada.gov.ua/laws/show/z0099-22" TargetMode="External"/><Relationship Id="rId48" Type="http://schemas.openxmlformats.org/officeDocument/2006/relationships/hyperlink" Target="https://zakon.rada.gov.ua/laws/show/2755-17" TargetMode="External"/><Relationship Id="rId56" Type="http://schemas.openxmlformats.org/officeDocument/2006/relationships/hyperlink" Target="https://zakon.rada.gov.ua/laws/show/z0465-18" TargetMode="External"/><Relationship Id="rId64" Type="http://schemas.openxmlformats.org/officeDocument/2006/relationships/hyperlink" Target="https://zakon.rada.gov.ua/laws/show/z1064-20" TargetMode="External"/><Relationship Id="rId69" Type="http://schemas.openxmlformats.org/officeDocument/2006/relationships/hyperlink" Target="https://zakon.rada.gov.ua/laws/show/z0099-22" TargetMode="External"/><Relationship Id="rId8" Type="http://schemas.openxmlformats.org/officeDocument/2006/relationships/hyperlink" Target="https://zakon.rada.gov.ua/laws/show/2755-17" TargetMode="External"/><Relationship Id="rId51" Type="http://schemas.openxmlformats.org/officeDocument/2006/relationships/hyperlink" Target="https://zakon.rada.gov.ua/laws/show/2755-17" TargetMode="External"/><Relationship Id="rId3" Type="http://schemas.openxmlformats.org/officeDocument/2006/relationships/webSettings" Target="webSettings.xml"/><Relationship Id="rId12" Type="http://schemas.openxmlformats.org/officeDocument/2006/relationships/hyperlink" Target="https://zakon.rada.gov.ua/laws/show/2755-17" TargetMode="External"/><Relationship Id="rId17" Type="http://schemas.openxmlformats.org/officeDocument/2006/relationships/hyperlink" Target="https://zakon.rada.gov.ua/laws/show/z0099-22" TargetMode="External"/><Relationship Id="rId25" Type="http://schemas.openxmlformats.org/officeDocument/2006/relationships/hyperlink" Target="https://zakon.rada.gov.ua/laws/show/z0111-15" TargetMode="External"/><Relationship Id="rId33" Type="http://schemas.openxmlformats.org/officeDocument/2006/relationships/hyperlink" Target="https://zakon.rada.gov.ua/laws/show/z0111-15" TargetMode="External"/><Relationship Id="rId38" Type="http://schemas.openxmlformats.org/officeDocument/2006/relationships/hyperlink" Target="https://zakon.rada.gov.ua/laws/show/z0111-15" TargetMode="External"/><Relationship Id="rId46" Type="http://schemas.openxmlformats.org/officeDocument/2006/relationships/hyperlink" Target="https://zakon.rada.gov.ua/laws/show/z0099-22" TargetMode="External"/><Relationship Id="rId59" Type="http://schemas.openxmlformats.org/officeDocument/2006/relationships/hyperlink" Target="https://zakon.rada.gov.ua/laws/show/z0465-18" TargetMode="External"/><Relationship Id="rId67" Type="http://schemas.openxmlformats.org/officeDocument/2006/relationships/hyperlink" Target="https://zakon.rada.gov.ua/laws/show/z0465-18" TargetMode="External"/><Relationship Id="rId20" Type="http://schemas.openxmlformats.org/officeDocument/2006/relationships/hyperlink" Target="https://zakon.rada.gov.ua/laws/show/z0099-22" TargetMode="External"/><Relationship Id="rId41" Type="http://schemas.openxmlformats.org/officeDocument/2006/relationships/hyperlink" Target="https://zakon.rada.gov.ua/laws/show/2341-14" TargetMode="External"/><Relationship Id="rId54" Type="http://schemas.openxmlformats.org/officeDocument/2006/relationships/hyperlink" Target="https://zakon.rada.gov.ua/laws/show/z0111-15" TargetMode="External"/><Relationship Id="rId62" Type="http://schemas.openxmlformats.org/officeDocument/2006/relationships/hyperlink" Target="https://zakon.rada.gov.ua/laws/show/z1177-16"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zakon.rada.gov.ua/laws/show/2755-17" TargetMode="External"/><Relationship Id="rId15" Type="http://schemas.openxmlformats.org/officeDocument/2006/relationships/hyperlink" Target="https://zakon.rada.gov.ua/laws/show/z0099-22" TargetMode="External"/><Relationship Id="rId23" Type="http://schemas.openxmlformats.org/officeDocument/2006/relationships/hyperlink" Target="https://zakon.rada.gov.ua/laws/show/2341-14" TargetMode="External"/><Relationship Id="rId28" Type="http://schemas.openxmlformats.org/officeDocument/2006/relationships/hyperlink" Target="https://zakon.rada.gov.ua/laws/show/z0099-22" TargetMode="External"/><Relationship Id="rId36" Type="http://schemas.openxmlformats.org/officeDocument/2006/relationships/hyperlink" Target="https://zakon.rada.gov.ua/laws/show/z0111-15" TargetMode="External"/><Relationship Id="rId49" Type="http://schemas.openxmlformats.org/officeDocument/2006/relationships/hyperlink" Target="https://zakon.rada.gov.ua/laws/show/2755-17" TargetMode="External"/><Relationship Id="rId57" Type="http://schemas.openxmlformats.org/officeDocument/2006/relationships/hyperlink" Target="https://zakon.rada.gov.ua/laws/show/z1064-20" TargetMode="External"/><Relationship Id="rId10" Type="http://schemas.openxmlformats.org/officeDocument/2006/relationships/hyperlink" Target="https://zakon.rada.gov.ua/laws/show/z0099-22" TargetMode="External"/><Relationship Id="rId31" Type="http://schemas.openxmlformats.org/officeDocument/2006/relationships/hyperlink" Target="https://zakon.rada.gov.ua/laws/show/z0099-22" TargetMode="External"/><Relationship Id="rId44" Type="http://schemas.openxmlformats.org/officeDocument/2006/relationships/hyperlink" Target="https://zakon.rada.gov.ua/laws/show/z0111-15" TargetMode="External"/><Relationship Id="rId52" Type="http://schemas.openxmlformats.org/officeDocument/2006/relationships/hyperlink" Target="https://zakon.rada.gov.ua/laws/show/z0111-15" TargetMode="External"/><Relationship Id="rId60" Type="http://schemas.openxmlformats.org/officeDocument/2006/relationships/hyperlink" Target="https://zakon.rada.gov.ua/laws/show/z1064-20" TargetMode="External"/><Relationship Id="rId65" Type="http://schemas.openxmlformats.org/officeDocument/2006/relationships/hyperlink" Target="https://zakon.rada.gov.ua/laws/show/z0099-22" TargetMode="External"/><Relationship Id="rId4" Type="http://schemas.openxmlformats.org/officeDocument/2006/relationships/hyperlink" Target="https://zakon.rada.gov.ua/laws/show/z1064-20" TargetMode="External"/><Relationship Id="rId9" Type="http://schemas.openxmlformats.org/officeDocument/2006/relationships/hyperlink" Target="https://zakon.rada.gov.ua/laws/show/2464-17" TargetMode="External"/><Relationship Id="rId13" Type="http://schemas.openxmlformats.org/officeDocument/2006/relationships/hyperlink" Target="https://zakon.rada.gov.ua/laws/show/2755-17" TargetMode="External"/><Relationship Id="rId18" Type="http://schemas.openxmlformats.org/officeDocument/2006/relationships/hyperlink" Target="https://zakon.rada.gov.ua/laws/show/z0099-22" TargetMode="External"/><Relationship Id="rId39" Type="http://schemas.openxmlformats.org/officeDocument/2006/relationships/hyperlink" Target="https://zakon.rada.gov.ua/laws/show/2341-14" TargetMode="External"/><Relationship Id="rId34" Type="http://schemas.openxmlformats.org/officeDocument/2006/relationships/hyperlink" Target="https://zakon.rada.gov.ua/laws/show/z0111-15" TargetMode="External"/><Relationship Id="rId50" Type="http://schemas.openxmlformats.org/officeDocument/2006/relationships/hyperlink" Target="https://zakon.rada.gov.ua/laws/show/z0099-22" TargetMode="External"/><Relationship Id="rId55" Type="http://schemas.openxmlformats.org/officeDocument/2006/relationships/hyperlink" Target="https://zakon.rada.gov.ua/laws/show/z1177-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42749</Words>
  <Characters>24368</Characters>
  <Application>Microsoft Office Word</Application>
  <DocSecurity>0</DocSecurity>
  <Lines>203</Lines>
  <Paragraphs>133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Herhel</dc:creator>
  <cp:keywords/>
  <dc:description/>
  <cp:lastModifiedBy>КОВАЛЬ ЮЛІЯ ОЛЕКСАНДРІВНА</cp:lastModifiedBy>
  <cp:revision>2</cp:revision>
  <dcterms:created xsi:type="dcterms:W3CDTF">2025-08-14T10:26:00Z</dcterms:created>
  <dcterms:modified xsi:type="dcterms:W3CDTF">2025-08-14T10:26:00Z</dcterms:modified>
</cp:coreProperties>
</file>