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D3" w:rsidRDefault="009A23D3" w:rsidP="00E16613">
      <w:pPr>
        <w:spacing w:before="240" w:after="100" w:afterAutospacing="1" w:line="240" w:lineRule="auto"/>
        <w:ind w:left="43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постановою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Міністрів України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від ___</w:t>
      </w:r>
      <w:r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5F82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______2015 р. № ____</w:t>
      </w:r>
    </w:p>
    <w:p w:rsidR="00EF3912" w:rsidRPr="00EF3912" w:rsidRDefault="00EF3912" w:rsidP="00EF3912">
      <w:pPr>
        <w:spacing w:before="240" w:after="100" w:afterAutospacing="1" w:line="240" w:lineRule="auto"/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3912" w:rsidRDefault="009A23D3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</w:t>
      </w:r>
      <w:r w:rsidRPr="00EF391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6E707D"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здійснення органами </w:t>
      </w:r>
      <w:r w:rsidR="00626051" w:rsidRPr="006260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доходів і зборів </w:t>
      </w:r>
      <w:r w:rsidR="006E707D"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контролю за досягненням платниками єдиного податку другої і третьої груп </w:t>
      </w:r>
    </w:p>
    <w:p w:rsidR="00EF3912" w:rsidRDefault="006E707D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(фізичними особами – підприємцями) обсягу доходу відповідно </w:t>
      </w:r>
    </w:p>
    <w:p w:rsidR="009A23D3" w:rsidRDefault="006E707D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F39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 пункту 296.10 статті 296 Податкового кодексу України</w:t>
      </w:r>
    </w:p>
    <w:p w:rsidR="00C01BC9" w:rsidRDefault="00C01BC9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3912" w:rsidRPr="00EF3912" w:rsidRDefault="00EF3912" w:rsidP="00EF3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23D3" w:rsidRPr="00EF3912" w:rsidRDefault="00EF3912" w:rsidP="00C01BC9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805C3C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9A23D3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Цей Порядок визначає механізм 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органами</w:t>
      </w:r>
      <w:r w:rsidR="00626051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доходів і зборів</w:t>
      </w:r>
      <w:r w:rsidR="009D4F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(далі – контролюючі органи)</w:t>
      </w:r>
      <w:r w:rsidR="00176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76444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зазначеними у статті 41 Податкового кодексу України</w:t>
      </w:r>
      <w:r w:rsidR="00176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Кодекс</w:t>
      </w:r>
      <w:r w:rsidR="00176444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1764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заходів</w:t>
      </w:r>
      <w:r w:rsidR="0034053B" w:rsidRPr="003405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1408">
        <w:rPr>
          <w:rFonts w:ascii="Times New Roman" w:eastAsia="Times New Roman" w:hAnsi="Times New Roman"/>
          <w:sz w:val="28"/>
          <w:szCs w:val="28"/>
          <w:lang w:val="uk-UA" w:eastAsia="ru-RU"/>
        </w:rPr>
        <w:t>податкового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контролю за досягненням 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фізичними особами – підприємцями</w:t>
      </w:r>
      <w:r w:rsidR="00A90F1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платниками єдиного податку 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другої і третьої груп </w:t>
      </w:r>
      <w:r w:rsidR="00ED14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граничного </w:t>
      </w:r>
      <w:r w:rsidR="00756725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>обсягу доходу.</w:t>
      </w:r>
    </w:p>
    <w:p w:rsidR="00D80E7C" w:rsidRPr="00EF3912" w:rsidRDefault="00805C3C" w:rsidP="00626051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F3912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8F4A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розумінні пункту </w:t>
      </w:r>
      <w:r w:rsidR="008F4A6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>296.10 статті</w:t>
      </w:r>
      <w:r w:rsidR="008F4A68" w:rsidRPr="000A5AF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8F4A68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296 </w:t>
      </w:r>
      <w:r w:rsidR="008F4A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Кодексу граничним обсягом доходу </w:t>
      </w:r>
      <w:r w:rsidR="000A5A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</w:t>
      </w:r>
      <w:r w:rsidR="000A5AF0" w:rsidRPr="000A5AF0">
        <w:rPr>
          <w:rFonts w:ascii="Times New Roman" w:eastAsia="Times New Roman" w:hAnsi="Times New Roman"/>
          <w:sz w:val="28"/>
          <w:szCs w:val="28"/>
          <w:lang w:val="uk-UA" w:eastAsia="ru-RU"/>
        </w:rPr>
        <w:t>обсяг</w:t>
      </w:r>
      <w:r w:rsidR="000047AF">
        <w:rPr>
          <w:rFonts w:ascii="Times New Roman" w:eastAsia="Times New Roman" w:hAnsi="Times New Roman"/>
          <w:sz w:val="28"/>
          <w:szCs w:val="28"/>
          <w:lang w:val="uk-UA" w:eastAsia="ru-RU"/>
        </w:rPr>
        <w:t>, який</w:t>
      </w:r>
      <w:r w:rsidR="000A5AF0" w:rsidRPr="000A5A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протягом календарного року не перевищує 1000000</w:t>
      </w:r>
      <w:r w:rsidR="000047A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A5AF0" w:rsidRPr="000A5AF0">
        <w:rPr>
          <w:rFonts w:ascii="Times New Roman" w:eastAsia="Times New Roman" w:hAnsi="Times New Roman"/>
          <w:sz w:val="28"/>
          <w:szCs w:val="28"/>
          <w:lang w:val="uk-UA" w:eastAsia="ru-RU"/>
        </w:rPr>
        <w:t>гривень</w:t>
      </w:r>
      <w:r w:rsidR="00626051" w:rsidRPr="0062605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B5905" w:rsidRPr="00393702" w:rsidRDefault="008A15A8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EF391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240BC3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202B9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визначення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граничного </w:t>
      </w:r>
      <w:r w:rsidR="00202B9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обсягу доходу відповідно до пункту</w:t>
      </w:r>
      <w:r w:rsidR="00635E7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202B9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296.10 статті</w:t>
      </w:r>
      <w:r w:rsidR="00C012F7" w:rsidRPr="0039370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2B9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296 </w:t>
      </w:r>
      <w:r w:rsidR="007B2B9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Кодексу 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враховуються </w:t>
      </w:r>
      <w:r w:rsidR="0032544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сукупності 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усі види доходів, </w:t>
      </w:r>
      <w:r w:rsidR="004544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отримані </w:t>
      </w:r>
      <w:r w:rsidR="00E00188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фізичн</w:t>
      </w:r>
      <w:r w:rsidR="00554C7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E00188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</w:t>
      </w:r>
      <w:r w:rsidR="00554C7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E00188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підприємц</w:t>
      </w:r>
      <w:r w:rsidR="00554C7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ем –</w:t>
      </w:r>
      <w:r w:rsidR="00E00188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313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платником єдиного податку другої та/або третьої груп</w:t>
      </w:r>
      <w:r w:rsidR="00F850A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4C7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326E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від здійснення підприємницької діяльності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313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</w:t>
      </w:r>
      <w:r w:rsidR="00CA326E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календарно</w:t>
      </w:r>
      <w:r w:rsidR="001C313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го року</w:t>
      </w:r>
      <w:r w:rsidR="00330D03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</w:t>
      </w:r>
      <w:bookmarkStart w:id="0" w:name="_GoBack"/>
      <w:bookmarkEnd w:id="0"/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залежно від </w:t>
      </w:r>
      <w:r w:rsidR="000B211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обраних </w:t>
      </w:r>
      <w:r w:rsidR="005B5905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видів діяльності.</w:t>
      </w:r>
    </w:p>
    <w:p w:rsidR="00E513A8" w:rsidRPr="00393702" w:rsidRDefault="008A15A8" w:rsidP="00FC0FEA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EF391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94C83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5131C4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здійснення </w:t>
      </w:r>
      <w:r w:rsidR="0023698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податкового 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контролю </w:t>
      </w:r>
      <w:r w:rsidR="00F06C33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досягненням </w:t>
      </w:r>
      <w:r w:rsidR="006E518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фізичними особами – підприємцями – платниками єдиного податку другої і третьої груп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граничного обсягу доходу </w:t>
      </w:r>
      <w:r w:rsidR="00CC353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використовується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податкова інформація, зібрана</w:t>
      </w:r>
      <w:r w:rsidR="00635E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/або отримана контролюючими органами</w:t>
      </w:r>
      <w:r w:rsidR="004F21F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у порядку</w:t>
      </w:r>
      <w:r w:rsidR="00635E7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передбаченому статтями 72 та 73 Кодексу,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яка зберігається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, з урахуванням результатів її опрацювання,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інформаційних базах 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контролюючих органів</w:t>
      </w:r>
      <w:r w:rsidR="002F363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067EF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або безпосередньо посадовими (службовими) особами</w:t>
      </w:r>
      <w:r w:rsidR="009D4F2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цих органів.</w:t>
      </w:r>
    </w:p>
    <w:p w:rsidR="00750DD7" w:rsidRPr="00393702" w:rsidRDefault="00C83CFC" w:rsidP="009A23D3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F06C33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353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отримання 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податкової </w:t>
      </w:r>
      <w:r w:rsidR="00CC353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інформації </w:t>
      </w:r>
      <w:r w:rsidR="006E518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контролюючі органи </w:t>
      </w:r>
      <w:r w:rsidR="00CC353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звертаються</w:t>
      </w:r>
      <w:r w:rsidR="007A3C5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платників податків та інших суб’єктів інформаційних відносин із письмовим запитом про подання 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податкової </w:t>
      </w:r>
      <w:r w:rsidR="007A3C5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інформації (вичерпний перелік та підстави надання якої встановлено законом), необхідної для 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здійснення податкового контролю за досягненням платниками єдиного податку другої і третьої груп (фізичними особами – підприємцями) 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граничного обсягу доходу, визначеного для таких осіб пунктом 296.10 статті</w:t>
      </w:r>
      <w:r w:rsidR="00C6745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296 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Кодексу</w:t>
      </w:r>
      <w:r w:rsidR="00750DD7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1573E" w:rsidRPr="00A1573E" w:rsidRDefault="00C83CFC" w:rsidP="00A1573E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805C3C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F391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573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Письмовий запит про подання </w:t>
      </w:r>
      <w:r w:rsidR="00A15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податкової </w:t>
      </w:r>
      <w:r w:rsidR="00A1573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інформації з метою здійснення </w:t>
      </w:r>
      <w:r w:rsidR="00A1573E">
        <w:rPr>
          <w:rFonts w:ascii="Times New Roman" w:eastAsia="Times New Roman" w:hAnsi="Times New Roman"/>
          <w:sz w:val="28"/>
          <w:szCs w:val="28"/>
          <w:lang w:val="uk-UA" w:eastAsia="ru-RU"/>
        </w:rPr>
        <w:t>податкового</w:t>
      </w:r>
      <w:r w:rsidR="00A1573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контролю за досягненням фізичними особами – підприємцями – платниками єдиного податку другої і третьої груп </w:t>
      </w:r>
      <w:r w:rsidR="00A15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граничного </w:t>
      </w:r>
      <w:r w:rsidR="00A1573E" w:rsidRPr="006B27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обсягу доходу </w:t>
      </w:r>
      <w:r w:rsidR="00A1573E" w:rsidRPr="00EF39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надсилається платнику податків або іншим суб’єктам інформаційних </w:t>
      </w:r>
      <w:r w:rsidR="00A1573E" w:rsidRPr="00F06C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відносин за наявності хоча б однієї </w:t>
      </w:r>
      <w:r w:rsidR="00A1573E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з підстав, визначених у пункті 73.3 статті 73 Кодексу</w:t>
      </w:r>
      <w:r w:rsidR="0045447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1573E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дотриманням вимог, установлених цим пунктом</w:t>
      </w:r>
      <w:r w:rsidR="00A1573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35852" w:rsidRPr="00393702" w:rsidRDefault="00C83CFC" w:rsidP="00F35852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EF391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03A6A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онтролюючі органи мають право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отримувати податкову інформацію шляхом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зустрічн</w:t>
      </w:r>
      <w:r w:rsidR="00AF304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звір</w:t>
      </w:r>
      <w:r w:rsidR="00AF304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D46B81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 даних суб'єктів господарювання </w:t>
      </w:r>
      <w:r w:rsidR="00AF304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стосовно 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фізичних осіб – підприємців – платників єдиного податку другої і третьої груп</w:t>
      </w:r>
      <w:r w:rsidR="00AF304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визначення граничного обсягу доходу, визначеного для таких осіб пунктом 296.10 статті 296 Кодексу, у порядку, </w:t>
      </w:r>
      <w:r w:rsidR="00AF3049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передбаченому</w:t>
      </w:r>
      <w:r w:rsidR="00F35852" w:rsidRPr="00393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пунктом 73.5 статті 73 Кодексу. </w:t>
      </w:r>
    </w:p>
    <w:p w:rsidR="003E2C0A" w:rsidRPr="00393702" w:rsidRDefault="00C83CFC" w:rsidP="003E2C0A">
      <w:pPr>
        <w:pStyle w:val="ab"/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393702">
        <w:rPr>
          <w:rFonts w:eastAsia="Times New Roman"/>
          <w:sz w:val="28"/>
          <w:szCs w:val="28"/>
          <w:lang w:val="uk-UA"/>
        </w:rPr>
        <w:t>8</w:t>
      </w:r>
      <w:r w:rsidR="00EF3912" w:rsidRPr="00393702">
        <w:rPr>
          <w:rFonts w:eastAsia="Times New Roman"/>
          <w:sz w:val="28"/>
          <w:szCs w:val="28"/>
          <w:lang w:val="uk-UA"/>
        </w:rPr>
        <w:t>.</w:t>
      </w:r>
      <w:r w:rsidR="00603A6A" w:rsidRPr="00393702">
        <w:rPr>
          <w:rFonts w:eastAsia="Times New Roman"/>
          <w:sz w:val="28"/>
          <w:szCs w:val="28"/>
          <w:lang w:val="uk-UA"/>
        </w:rPr>
        <w:t> </w:t>
      </w:r>
      <w:r w:rsidR="001316F1">
        <w:rPr>
          <w:rFonts w:eastAsia="Times New Roman"/>
          <w:sz w:val="28"/>
          <w:szCs w:val="28"/>
          <w:lang w:val="uk-UA"/>
        </w:rPr>
        <w:t>З </w:t>
      </w:r>
      <w:r w:rsidR="001316F1" w:rsidRPr="00393702">
        <w:rPr>
          <w:rFonts w:eastAsia="Times New Roman"/>
          <w:sz w:val="28"/>
          <w:szCs w:val="28"/>
          <w:lang w:val="uk-UA"/>
        </w:rPr>
        <w:t>метою здійснення податкового контролю за досягненням фізичними особами – підприємцями – платниками єдиного податку другої і третьої груп граничного обсягу доходу</w:t>
      </w:r>
      <w:r w:rsidR="001316F1">
        <w:rPr>
          <w:rFonts w:eastAsia="Times New Roman"/>
          <w:sz w:val="28"/>
          <w:szCs w:val="28"/>
          <w:lang w:val="uk-UA"/>
        </w:rPr>
        <w:t>,</w:t>
      </w:r>
      <w:r w:rsidR="001316F1" w:rsidRPr="00393702">
        <w:rPr>
          <w:rFonts w:eastAsia="Times New Roman"/>
          <w:sz w:val="28"/>
          <w:szCs w:val="28"/>
          <w:lang w:val="uk-UA"/>
        </w:rPr>
        <w:t xml:space="preserve"> визначеного для таких осіб пунктом</w:t>
      </w:r>
      <w:r w:rsidR="001316F1">
        <w:rPr>
          <w:rFonts w:eastAsia="Times New Roman"/>
          <w:sz w:val="28"/>
          <w:szCs w:val="28"/>
          <w:lang w:val="uk-UA"/>
        </w:rPr>
        <w:t> </w:t>
      </w:r>
      <w:r w:rsidR="001316F1" w:rsidRPr="00393702">
        <w:rPr>
          <w:rFonts w:eastAsia="Times New Roman"/>
          <w:sz w:val="28"/>
          <w:szCs w:val="28"/>
          <w:lang w:val="uk-UA"/>
        </w:rPr>
        <w:t>296.10 статті 296 Кодексу</w:t>
      </w:r>
      <w:r w:rsidR="001316F1">
        <w:rPr>
          <w:rFonts w:eastAsia="Times New Roman"/>
          <w:sz w:val="28"/>
          <w:szCs w:val="28"/>
          <w:lang w:val="uk-UA"/>
        </w:rPr>
        <w:t>, к</w:t>
      </w:r>
      <w:r w:rsidR="00A1573E">
        <w:rPr>
          <w:rFonts w:eastAsia="Times New Roman"/>
          <w:sz w:val="28"/>
          <w:szCs w:val="28"/>
          <w:lang w:val="uk-UA"/>
        </w:rPr>
        <w:t xml:space="preserve">онтролюючий орган 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може проводити </w:t>
      </w:r>
      <w:r w:rsidR="001316F1">
        <w:rPr>
          <w:rFonts w:eastAsia="Times New Roman"/>
          <w:sz w:val="28"/>
          <w:szCs w:val="28"/>
          <w:lang w:val="uk-UA"/>
        </w:rPr>
        <w:t>у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 порядку, визначеному Кодексом</w:t>
      </w:r>
      <w:r w:rsidR="003E2C0A">
        <w:rPr>
          <w:rFonts w:eastAsia="Times New Roman"/>
          <w:sz w:val="28"/>
          <w:szCs w:val="28"/>
          <w:lang w:val="uk-UA"/>
        </w:rPr>
        <w:t>, з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а наявності </w:t>
      </w:r>
      <w:r w:rsidR="003E2C0A">
        <w:rPr>
          <w:rFonts w:eastAsia="Times New Roman"/>
          <w:sz w:val="28"/>
          <w:szCs w:val="28"/>
          <w:lang w:val="uk-UA"/>
        </w:rPr>
        <w:t>підстав, передбачених підпунктами 78</w:t>
      </w:r>
      <w:r w:rsidR="003E2C0A" w:rsidRPr="00393702">
        <w:rPr>
          <w:rFonts w:eastAsia="Times New Roman"/>
          <w:sz w:val="28"/>
          <w:szCs w:val="28"/>
          <w:lang w:val="uk-UA"/>
        </w:rPr>
        <w:t>.</w:t>
      </w:r>
      <w:r w:rsidR="003E2C0A">
        <w:rPr>
          <w:rFonts w:eastAsia="Times New Roman"/>
          <w:sz w:val="28"/>
          <w:szCs w:val="28"/>
          <w:lang w:val="uk-UA"/>
        </w:rPr>
        <w:t>1.1 – 78</w:t>
      </w:r>
      <w:r w:rsidR="003E2C0A" w:rsidRPr="00393702">
        <w:rPr>
          <w:rFonts w:eastAsia="Times New Roman"/>
          <w:sz w:val="28"/>
          <w:szCs w:val="28"/>
          <w:lang w:val="uk-UA"/>
        </w:rPr>
        <w:t>.</w:t>
      </w:r>
      <w:r w:rsidR="003E2C0A">
        <w:rPr>
          <w:rFonts w:eastAsia="Times New Roman"/>
          <w:sz w:val="28"/>
          <w:szCs w:val="28"/>
          <w:lang w:val="uk-UA"/>
        </w:rPr>
        <w:t>1</w:t>
      </w:r>
      <w:r w:rsidR="003E2C0A" w:rsidRPr="00393702">
        <w:rPr>
          <w:rFonts w:eastAsia="Times New Roman"/>
          <w:sz w:val="28"/>
          <w:szCs w:val="28"/>
          <w:lang w:val="uk-UA"/>
        </w:rPr>
        <w:t>.</w:t>
      </w:r>
      <w:r w:rsidR="003E2C0A">
        <w:rPr>
          <w:rFonts w:eastAsia="Times New Roman"/>
          <w:sz w:val="28"/>
          <w:szCs w:val="28"/>
          <w:lang w:val="uk-UA"/>
        </w:rPr>
        <w:t>18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 пункту </w:t>
      </w:r>
      <w:r w:rsidR="003E2C0A">
        <w:rPr>
          <w:rFonts w:eastAsia="Times New Roman"/>
          <w:sz w:val="28"/>
          <w:szCs w:val="28"/>
          <w:lang w:val="uk-UA"/>
        </w:rPr>
        <w:t>78.1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 статті </w:t>
      </w:r>
      <w:r w:rsidR="003E2C0A">
        <w:rPr>
          <w:rFonts w:eastAsia="Times New Roman"/>
          <w:sz w:val="28"/>
          <w:szCs w:val="28"/>
          <w:lang w:val="uk-UA"/>
        </w:rPr>
        <w:t>78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 Кодексу,</w:t>
      </w:r>
      <w:r w:rsidR="003E2C0A">
        <w:rPr>
          <w:rFonts w:eastAsia="Times New Roman"/>
          <w:sz w:val="28"/>
          <w:szCs w:val="28"/>
          <w:lang w:val="uk-UA"/>
        </w:rPr>
        <w:t xml:space="preserve"> документальну </w:t>
      </w:r>
      <w:r w:rsidR="003E2C0A" w:rsidRPr="006B3CF0">
        <w:rPr>
          <w:rFonts w:eastAsia="Times New Roman"/>
          <w:sz w:val="28"/>
          <w:szCs w:val="28"/>
          <w:lang w:val="uk-UA"/>
        </w:rPr>
        <w:t>позапланову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 перевірку </w:t>
      </w:r>
      <w:r w:rsidR="003E2C0A">
        <w:rPr>
          <w:rFonts w:eastAsia="Times New Roman"/>
          <w:sz w:val="28"/>
          <w:szCs w:val="28"/>
          <w:lang w:val="uk-UA"/>
        </w:rPr>
        <w:t xml:space="preserve">та за </w:t>
      </w:r>
      <w:r w:rsidR="003E2C0A" w:rsidRPr="00393702">
        <w:rPr>
          <w:rFonts w:eastAsia="Times New Roman"/>
          <w:sz w:val="28"/>
          <w:szCs w:val="28"/>
          <w:lang w:val="uk-UA"/>
        </w:rPr>
        <w:t xml:space="preserve">наявності </w:t>
      </w:r>
      <w:r w:rsidR="003E2C0A">
        <w:rPr>
          <w:rFonts w:eastAsia="Times New Roman"/>
          <w:sz w:val="28"/>
          <w:szCs w:val="28"/>
          <w:lang w:val="uk-UA"/>
        </w:rPr>
        <w:t>підстав</w:t>
      </w:r>
      <w:r w:rsidR="003E2C0A" w:rsidRPr="00393702">
        <w:rPr>
          <w:rFonts w:eastAsia="Times New Roman"/>
          <w:sz w:val="28"/>
          <w:szCs w:val="28"/>
          <w:lang w:val="uk-UA"/>
        </w:rPr>
        <w:t>, визначених підпунктами 80.2.1 – 80.2.7 пункту</w:t>
      </w:r>
      <w:r w:rsidR="003E2C0A">
        <w:rPr>
          <w:rFonts w:eastAsia="Times New Roman"/>
          <w:sz w:val="28"/>
          <w:szCs w:val="28"/>
          <w:lang w:val="uk-UA"/>
        </w:rPr>
        <w:t> </w:t>
      </w:r>
      <w:r w:rsidR="003E2C0A" w:rsidRPr="00393702">
        <w:rPr>
          <w:rFonts w:eastAsia="Times New Roman"/>
          <w:sz w:val="28"/>
          <w:szCs w:val="28"/>
          <w:lang w:val="uk-UA"/>
        </w:rPr>
        <w:t>80.2 статті</w:t>
      </w:r>
      <w:r w:rsidR="001316F1">
        <w:rPr>
          <w:rFonts w:eastAsia="Times New Roman"/>
          <w:sz w:val="28"/>
          <w:szCs w:val="28"/>
          <w:lang w:val="uk-UA"/>
        </w:rPr>
        <w:t> </w:t>
      </w:r>
      <w:r w:rsidR="003E2C0A" w:rsidRPr="00393702">
        <w:rPr>
          <w:rFonts w:eastAsia="Times New Roman"/>
          <w:sz w:val="28"/>
          <w:szCs w:val="28"/>
          <w:lang w:val="uk-UA"/>
        </w:rPr>
        <w:t>80 Кодексу</w:t>
      </w:r>
      <w:r w:rsidR="003E2C0A">
        <w:rPr>
          <w:rFonts w:eastAsia="Times New Roman"/>
          <w:sz w:val="28"/>
          <w:szCs w:val="28"/>
          <w:lang w:val="uk-UA"/>
        </w:rPr>
        <w:t>, фактичну перевірку</w:t>
      </w:r>
      <w:r w:rsidR="003E2C0A" w:rsidRPr="00393702">
        <w:rPr>
          <w:rFonts w:eastAsia="Times New Roman"/>
          <w:sz w:val="28"/>
          <w:szCs w:val="28"/>
          <w:lang w:val="uk-UA"/>
        </w:rPr>
        <w:t>.</w:t>
      </w:r>
    </w:p>
    <w:sectPr w:rsidR="003E2C0A" w:rsidRPr="00393702" w:rsidSect="00EF3912">
      <w:headerReference w:type="default" r:id="rId7"/>
      <w:pgSz w:w="11906" w:h="16838"/>
      <w:pgMar w:top="993" w:right="849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F0" w:rsidRDefault="006F5FF0" w:rsidP="00C40301">
      <w:pPr>
        <w:spacing w:after="0" w:line="240" w:lineRule="auto"/>
      </w:pPr>
      <w:r>
        <w:separator/>
      </w:r>
    </w:p>
  </w:endnote>
  <w:endnote w:type="continuationSeparator" w:id="1">
    <w:p w:rsidR="006F5FF0" w:rsidRDefault="006F5FF0" w:rsidP="00C4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F0" w:rsidRDefault="006F5FF0" w:rsidP="00C40301">
      <w:pPr>
        <w:spacing w:after="0" w:line="240" w:lineRule="auto"/>
      </w:pPr>
      <w:r>
        <w:separator/>
      </w:r>
    </w:p>
  </w:footnote>
  <w:footnote w:type="continuationSeparator" w:id="1">
    <w:p w:rsidR="006F5FF0" w:rsidRDefault="006F5FF0" w:rsidP="00C4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548"/>
      <w:docPartObj>
        <w:docPartGallery w:val="Page Numbers (Top of Page)"/>
        <w:docPartUnique/>
      </w:docPartObj>
    </w:sdtPr>
    <w:sdtContent>
      <w:p w:rsidR="00D61561" w:rsidRDefault="00D61561">
        <w:pPr>
          <w:pStyle w:val="ac"/>
          <w:jc w:val="center"/>
        </w:pPr>
        <w:fldSimple w:instr=" PAGE   \* MERGEFORMAT ">
          <w:r w:rsidR="00454478">
            <w:rPr>
              <w:noProof/>
            </w:rPr>
            <w:t>2</w:t>
          </w:r>
        </w:fldSimple>
      </w:p>
    </w:sdtContent>
  </w:sdt>
  <w:p w:rsidR="001C1D9E" w:rsidRDefault="001C1D9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602"/>
    <w:rsid w:val="000047AF"/>
    <w:rsid w:val="00045E70"/>
    <w:rsid w:val="00052FE1"/>
    <w:rsid w:val="00053D59"/>
    <w:rsid w:val="0008279E"/>
    <w:rsid w:val="0009586B"/>
    <w:rsid w:val="0009707E"/>
    <w:rsid w:val="00097480"/>
    <w:rsid w:val="000A5AF0"/>
    <w:rsid w:val="000B2114"/>
    <w:rsid w:val="000C1C03"/>
    <w:rsid w:val="000C3CCE"/>
    <w:rsid w:val="000F584C"/>
    <w:rsid w:val="00115A59"/>
    <w:rsid w:val="001316F1"/>
    <w:rsid w:val="0015028A"/>
    <w:rsid w:val="00153BC8"/>
    <w:rsid w:val="00154AC0"/>
    <w:rsid w:val="00176444"/>
    <w:rsid w:val="001C1D9E"/>
    <w:rsid w:val="001C313F"/>
    <w:rsid w:val="001C5C66"/>
    <w:rsid w:val="001E2685"/>
    <w:rsid w:val="001E337D"/>
    <w:rsid w:val="001E4112"/>
    <w:rsid w:val="00202B9F"/>
    <w:rsid w:val="00203268"/>
    <w:rsid w:val="00214434"/>
    <w:rsid w:val="002204CB"/>
    <w:rsid w:val="002224CD"/>
    <w:rsid w:val="0022747C"/>
    <w:rsid w:val="00236989"/>
    <w:rsid w:val="00240BC3"/>
    <w:rsid w:val="0024304B"/>
    <w:rsid w:val="00251398"/>
    <w:rsid w:val="00263A77"/>
    <w:rsid w:val="0027159C"/>
    <w:rsid w:val="00284286"/>
    <w:rsid w:val="002856D1"/>
    <w:rsid w:val="002A08E7"/>
    <w:rsid w:val="002B521C"/>
    <w:rsid w:val="002B6D22"/>
    <w:rsid w:val="002C323E"/>
    <w:rsid w:val="002F363A"/>
    <w:rsid w:val="00310C8C"/>
    <w:rsid w:val="003165CF"/>
    <w:rsid w:val="00325447"/>
    <w:rsid w:val="00326DE5"/>
    <w:rsid w:val="00330D03"/>
    <w:rsid w:val="0034053B"/>
    <w:rsid w:val="00341DBB"/>
    <w:rsid w:val="00367B2D"/>
    <w:rsid w:val="00373352"/>
    <w:rsid w:val="003936E8"/>
    <w:rsid w:val="00393702"/>
    <w:rsid w:val="00393A87"/>
    <w:rsid w:val="003A0022"/>
    <w:rsid w:val="003A0C03"/>
    <w:rsid w:val="003A1DFA"/>
    <w:rsid w:val="003A2EE2"/>
    <w:rsid w:val="003C0FD7"/>
    <w:rsid w:val="003C529F"/>
    <w:rsid w:val="003C72C5"/>
    <w:rsid w:val="003D3E85"/>
    <w:rsid w:val="003D7C37"/>
    <w:rsid w:val="003E2C0A"/>
    <w:rsid w:val="00405647"/>
    <w:rsid w:val="00441EBE"/>
    <w:rsid w:val="00445695"/>
    <w:rsid w:val="00452C4B"/>
    <w:rsid w:val="00454478"/>
    <w:rsid w:val="00454BC4"/>
    <w:rsid w:val="004943D8"/>
    <w:rsid w:val="004A1799"/>
    <w:rsid w:val="004A737D"/>
    <w:rsid w:val="004B2860"/>
    <w:rsid w:val="004C05EE"/>
    <w:rsid w:val="004F21F7"/>
    <w:rsid w:val="0050220E"/>
    <w:rsid w:val="00503492"/>
    <w:rsid w:val="00504FF8"/>
    <w:rsid w:val="005131C4"/>
    <w:rsid w:val="0051480B"/>
    <w:rsid w:val="00554C74"/>
    <w:rsid w:val="00555F82"/>
    <w:rsid w:val="0055654B"/>
    <w:rsid w:val="005841BC"/>
    <w:rsid w:val="0058681A"/>
    <w:rsid w:val="00590957"/>
    <w:rsid w:val="005B31A0"/>
    <w:rsid w:val="005B5905"/>
    <w:rsid w:val="005B5BB2"/>
    <w:rsid w:val="005C7147"/>
    <w:rsid w:val="005E0184"/>
    <w:rsid w:val="005E568C"/>
    <w:rsid w:val="005F4767"/>
    <w:rsid w:val="005F4885"/>
    <w:rsid w:val="005F717D"/>
    <w:rsid w:val="00601D4D"/>
    <w:rsid w:val="00603A6A"/>
    <w:rsid w:val="00604710"/>
    <w:rsid w:val="00626051"/>
    <w:rsid w:val="00630ECF"/>
    <w:rsid w:val="006318FA"/>
    <w:rsid w:val="00635E7E"/>
    <w:rsid w:val="0063712A"/>
    <w:rsid w:val="006536AA"/>
    <w:rsid w:val="00656330"/>
    <w:rsid w:val="0066609E"/>
    <w:rsid w:val="00667C7E"/>
    <w:rsid w:val="00671D86"/>
    <w:rsid w:val="006A7F07"/>
    <w:rsid w:val="006B27C3"/>
    <w:rsid w:val="006B3CF0"/>
    <w:rsid w:val="006B62A7"/>
    <w:rsid w:val="006C053A"/>
    <w:rsid w:val="006C3971"/>
    <w:rsid w:val="006C54DC"/>
    <w:rsid w:val="006D38A1"/>
    <w:rsid w:val="006D5E51"/>
    <w:rsid w:val="006E518A"/>
    <w:rsid w:val="006E707D"/>
    <w:rsid w:val="006F0D91"/>
    <w:rsid w:val="006F224D"/>
    <w:rsid w:val="006F5FF0"/>
    <w:rsid w:val="00725D35"/>
    <w:rsid w:val="00736FC8"/>
    <w:rsid w:val="00750DD7"/>
    <w:rsid w:val="00756725"/>
    <w:rsid w:val="007814A2"/>
    <w:rsid w:val="00790229"/>
    <w:rsid w:val="007915BD"/>
    <w:rsid w:val="007952A8"/>
    <w:rsid w:val="0079629B"/>
    <w:rsid w:val="007A3C5A"/>
    <w:rsid w:val="007B2B9A"/>
    <w:rsid w:val="007D22C3"/>
    <w:rsid w:val="007F67C1"/>
    <w:rsid w:val="00805C3C"/>
    <w:rsid w:val="00826DB2"/>
    <w:rsid w:val="00827358"/>
    <w:rsid w:val="00834BDD"/>
    <w:rsid w:val="00870D39"/>
    <w:rsid w:val="00887509"/>
    <w:rsid w:val="008A15A8"/>
    <w:rsid w:val="008A2AEC"/>
    <w:rsid w:val="008B4123"/>
    <w:rsid w:val="008D72A2"/>
    <w:rsid w:val="008E3C6A"/>
    <w:rsid w:val="008F1336"/>
    <w:rsid w:val="008F4A68"/>
    <w:rsid w:val="009001BB"/>
    <w:rsid w:val="009002E8"/>
    <w:rsid w:val="00930D54"/>
    <w:rsid w:val="00933A84"/>
    <w:rsid w:val="00964AED"/>
    <w:rsid w:val="009650FE"/>
    <w:rsid w:val="009741D7"/>
    <w:rsid w:val="009A23D3"/>
    <w:rsid w:val="009B0925"/>
    <w:rsid w:val="009C2AD6"/>
    <w:rsid w:val="009C3A22"/>
    <w:rsid w:val="009D2583"/>
    <w:rsid w:val="009D4F2A"/>
    <w:rsid w:val="009E2E48"/>
    <w:rsid w:val="009E53C3"/>
    <w:rsid w:val="00A00532"/>
    <w:rsid w:val="00A03EA1"/>
    <w:rsid w:val="00A1573E"/>
    <w:rsid w:val="00A23980"/>
    <w:rsid w:val="00A26D48"/>
    <w:rsid w:val="00A40BC2"/>
    <w:rsid w:val="00A47CCD"/>
    <w:rsid w:val="00A631DA"/>
    <w:rsid w:val="00A66DA2"/>
    <w:rsid w:val="00A81AA6"/>
    <w:rsid w:val="00A90F1E"/>
    <w:rsid w:val="00A94C83"/>
    <w:rsid w:val="00AB1B48"/>
    <w:rsid w:val="00AC4460"/>
    <w:rsid w:val="00AD658B"/>
    <w:rsid w:val="00AE6084"/>
    <w:rsid w:val="00AF3049"/>
    <w:rsid w:val="00B06BCD"/>
    <w:rsid w:val="00B13DF2"/>
    <w:rsid w:val="00B5738D"/>
    <w:rsid w:val="00BA1602"/>
    <w:rsid w:val="00BA517A"/>
    <w:rsid w:val="00BD76E6"/>
    <w:rsid w:val="00BE1735"/>
    <w:rsid w:val="00BE698C"/>
    <w:rsid w:val="00BF5E62"/>
    <w:rsid w:val="00C012F7"/>
    <w:rsid w:val="00C01BC9"/>
    <w:rsid w:val="00C2529B"/>
    <w:rsid w:val="00C40301"/>
    <w:rsid w:val="00C506D2"/>
    <w:rsid w:val="00C5345D"/>
    <w:rsid w:val="00C5601F"/>
    <w:rsid w:val="00C6745A"/>
    <w:rsid w:val="00C83CFC"/>
    <w:rsid w:val="00C9299F"/>
    <w:rsid w:val="00C96C0D"/>
    <w:rsid w:val="00CA326E"/>
    <w:rsid w:val="00CA54B3"/>
    <w:rsid w:val="00CB12BB"/>
    <w:rsid w:val="00CC3539"/>
    <w:rsid w:val="00CE60B7"/>
    <w:rsid w:val="00CF0725"/>
    <w:rsid w:val="00D410FD"/>
    <w:rsid w:val="00D439DF"/>
    <w:rsid w:val="00D46B81"/>
    <w:rsid w:val="00D52602"/>
    <w:rsid w:val="00D61561"/>
    <w:rsid w:val="00D749EA"/>
    <w:rsid w:val="00D80E7C"/>
    <w:rsid w:val="00D9005B"/>
    <w:rsid w:val="00DD42B6"/>
    <w:rsid w:val="00DF165C"/>
    <w:rsid w:val="00E00188"/>
    <w:rsid w:val="00E03389"/>
    <w:rsid w:val="00E067EF"/>
    <w:rsid w:val="00E07F37"/>
    <w:rsid w:val="00E149DD"/>
    <w:rsid w:val="00E16613"/>
    <w:rsid w:val="00E3527B"/>
    <w:rsid w:val="00E405BF"/>
    <w:rsid w:val="00E4562C"/>
    <w:rsid w:val="00E513A8"/>
    <w:rsid w:val="00E64FDD"/>
    <w:rsid w:val="00E77740"/>
    <w:rsid w:val="00EB7442"/>
    <w:rsid w:val="00EC29B7"/>
    <w:rsid w:val="00ED10D6"/>
    <w:rsid w:val="00ED1408"/>
    <w:rsid w:val="00EF05DA"/>
    <w:rsid w:val="00EF357F"/>
    <w:rsid w:val="00EF3912"/>
    <w:rsid w:val="00F064F2"/>
    <w:rsid w:val="00F06C33"/>
    <w:rsid w:val="00F140C8"/>
    <w:rsid w:val="00F35852"/>
    <w:rsid w:val="00F42291"/>
    <w:rsid w:val="00F54E36"/>
    <w:rsid w:val="00F850A5"/>
    <w:rsid w:val="00F876AD"/>
    <w:rsid w:val="00F91EB0"/>
    <w:rsid w:val="00F937BD"/>
    <w:rsid w:val="00FB6E20"/>
    <w:rsid w:val="00FC0FEA"/>
    <w:rsid w:val="00FD0701"/>
    <w:rsid w:val="00FD2CC9"/>
    <w:rsid w:val="00FD5725"/>
    <w:rsid w:val="00FF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rvps2">
    <w:name w:val="rvps2"/>
    <w:basedOn w:val="a"/>
    <w:rsid w:val="00393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3702"/>
  </w:style>
  <w:style w:type="character" w:customStyle="1" w:styleId="apple-converted-space">
    <w:name w:val="apple-converted-space"/>
    <w:basedOn w:val="a0"/>
    <w:rsid w:val="00393702"/>
  </w:style>
  <w:style w:type="character" w:customStyle="1" w:styleId="rvts11">
    <w:name w:val="rvts11"/>
    <w:basedOn w:val="a0"/>
    <w:rsid w:val="00393702"/>
  </w:style>
  <w:style w:type="character" w:styleId="af0">
    <w:name w:val="Hyperlink"/>
    <w:basedOn w:val="a0"/>
    <w:uiPriority w:val="99"/>
    <w:semiHidden/>
    <w:unhideWhenUsed/>
    <w:rsid w:val="00393702"/>
    <w:rPr>
      <w:color w:val="0000FF"/>
      <w:u w:val="single"/>
    </w:rPr>
  </w:style>
  <w:style w:type="character" w:customStyle="1" w:styleId="rvts46">
    <w:name w:val="rvts46"/>
    <w:basedOn w:val="a0"/>
    <w:rsid w:val="00393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A2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A2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20">
    <w:name w:val="a2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a3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4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a6"/>
    <w:basedOn w:val="a"/>
    <w:rsid w:val="009A2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A23D3"/>
  </w:style>
  <w:style w:type="paragraph" w:styleId="a7">
    <w:name w:val="List Paragraph"/>
    <w:basedOn w:val="a"/>
    <w:uiPriority w:val="34"/>
    <w:qFormat/>
    <w:rsid w:val="00A90F1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40301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C4030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0301"/>
    <w:rPr>
      <w:vertAlign w:val="superscript"/>
    </w:rPr>
  </w:style>
  <w:style w:type="paragraph" w:styleId="ab">
    <w:name w:val="Normal (Web)"/>
    <w:basedOn w:val="a"/>
    <w:uiPriority w:val="99"/>
    <w:unhideWhenUsed/>
    <w:rsid w:val="00D900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1C1D9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C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1C1D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7-puv\Local%20Settings\Temporary%20Internet%20Files\OLK25\&#1087;&#1086;&#1089;&#1090;&#1072;&#1085;&#1086;&#1074;&#1072;%20&#1087;&#1088;&#1086;%20&#1079;&#1072;&#1090;&#1074;&#1077;&#1088;&#1076;&#1078;&#1077;&#1085;&#1085;&#1103;%20&#1055;&#1086;&#1088;&#1103;&#1076;&#1082;&#1091;-11111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0D47-6DE0-4D7D-8964-F3EE73A8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постанова про затвердження Порядку-1111111</Template>
  <TotalTime>57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d17-puv</dc:creator>
  <cp:lastModifiedBy>d17-puv</cp:lastModifiedBy>
  <cp:revision>3</cp:revision>
  <cp:lastPrinted>2015-12-03T08:34:00Z</cp:lastPrinted>
  <dcterms:created xsi:type="dcterms:W3CDTF">2015-12-03T08:10:00Z</dcterms:created>
  <dcterms:modified xsi:type="dcterms:W3CDTF">2015-12-03T09:14:00Z</dcterms:modified>
</cp:coreProperties>
</file>