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6" w:rsidRDefault="00A32D56" w:rsidP="00A32D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Проект</w:t>
      </w:r>
    </w:p>
    <w:p w:rsidR="00A32D56" w:rsidRDefault="00A32D56" w:rsidP="00A32D56">
      <w:pPr>
        <w:pStyle w:val="a4"/>
        <w:spacing w:before="4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Закон УкраЇни</w:t>
      </w:r>
    </w:p>
    <w:p w:rsidR="00A32D56" w:rsidRDefault="00A32D56" w:rsidP="00A32D56">
      <w:pPr>
        <w:pStyle w:val="a4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A32D56" w:rsidRPr="00110569" w:rsidRDefault="00A32D56" w:rsidP="00A32D56">
      <w:pPr>
        <w:pStyle w:val="a6"/>
        <w:spacing w:before="0" w:after="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131934">
        <w:rPr>
          <w:rFonts w:ascii="Times New Roman" w:hAnsi="Times New Roman" w:cs="Times New Roman"/>
          <w:b w:val="0"/>
          <w:sz w:val="28"/>
          <w:szCs w:val="28"/>
        </w:rPr>
        <w:t xml:space="preserve">«Про внесення змін до </w:t>
      </w:r>
      <w:r>
        <w:rPr>
          <w:rFonts w:ascii="Times New Roman" w:hAnsi="Times New Roman" w:cs="Times New Roman"/>
          <w:b w:val="0"/>
          <w:sz w:val="28"/>
          <w:szCs w:val="28"/>
        </w:rPr>
        <w:t>Митного кодексу України</w:t>
      </w:r>
      <w:r w:rsidRPr="00131934">
        <w:rPr>
          <w:rFonts w:ascii="Times New Roman" w:hAnsi="Times New Roman" w:cs="Times New Roman"/>
          <w:b w:val="0"/>
          <w:sz w:val="28"/>
          <w:szCs w:val="28"/>
        </w:rPr>
        <w:t xml:space="preserve"> щодо оптимізації територіальних органів </w:t>
      </w:r>
      <w:r>
        <w:rPr>
          <w:rFonts w:ascii="Times New Roman" w:hAnsi="Times New Roman" w:cs="Times New Roman"/>
          <w:b w:val="0"/>
          <w:sz w:val="28"/>
          <w:szCs w:val="28"/>
        </w:rPr>
        <w:t>державної фіскальної служби</w:t>
      </w:r>
      <w:r w:rsidRPr="001319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2D56" w:rsidRPr="001F4D16" w:rsidRDefault="00A32D56" w:rsidP="00A32D56">
      <w:pPr>
        <w:pStyle w:val="a6"/>
        <w:spacing w:before="0" w:after="0"/>
        <w:ind w:firstLine="851"/>
        <w:rPr>
          <w:rFonts w:ascii="Times New Roman" w:hAnsi="Times New Roman" w:cs="Times New Roman"/>
          <w:b w:val="0"/>
          <w:sz w:val="27"/>
          <w:szCs w:val="27"/>
        </w:rPr>
      </w:pPr>
      <w:r w:rsidRPr="001F4D16">
        <w:rPr>
          <w:b w:val="0"/>
        </w:rPr>
        <w:t>________________</w:t>
      </w:r>
    </w:p>
    <w:p w:rsidR="00A32D56" w:rsidRDefault="00A32D56" w:rsidP="00A32D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32D56" w:rsidRPr="001F4D16" w:rsidRDefault="00A32D56" w:rsidP="00A32D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F4D16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1F4D16">
        <w:rPr>
          <w:rFonts w:ascii="Times New Roman" w:hAnsi="Times New Roman" w:cs="Times New Roman"/>
          <w:bCs/>
          <w:sz w:val="28"/>
          <w:szCs w:val="28"/>
        </w:rPr>
        <w:t>п о с т а н о в л я є</w:t>
      </w:r>
      <w:r w:rsidRPr="001F4D16">
        <w:rPr>
          <w:rFonts w:ascii="Times New Roman" w:hAnsi="Times New Roman" w:cs="Times New Roman"/>
          <w:sz w:val="28"/>
          <w:szCs w:val="28"/>
        </w:rPr>
        <w:t>:</w:t>
      </w:r>
    </w:p>
    <w:p w:rsidR="00A32D56" w:rsidRDefault="00A32D56" w:rsidP="00A32D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32D56" w:rsidRDefault="00A32D56" w:rsidP="00712F9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1F4D16">
        <w:rPr>
          <w:rFonts w:ascii="Times New Roman" w:hAnsi="Times New Roman" w:cs="Times New Roman"/>
          <w:sz w:val="28"/>
          <w:szCs w:val="28"/>
        </w:rPr>
        <w:t xml:space="preserve">I. Внести зміни до </w:t>
      </w:r>
      <w:r w:rsidRPr="007B6509">
        <w:rPr>
          <w:rFonts w:ascii="Times New Roman" w:hAnsi="Times New Roman"/>
          <w:sz w:val="28"/>
          <w:szCs w:val="28"/>
        </w:rPr>
        <w:t>Митно</w:t>
      </w:r>
      <w:r w:rsidR="00712F9D">
        <w:rPr>
          <w:rFonts w:ascii="Times New Roman" w:hAnsi="Times New Roman"/>
          <w:sz w:val="28"/>
          <w:szCs w:val="28"/>
        </w:rPr>
        <w:t>го</w:t>
      </w:r>
      <w:r w:rsidRPr="007B6509">
        <w:rPr>
          <w:rFonts w:ascii="Times New Roman" w:hAnsi="Times New Roman"/>
          <w:sz w:val="28"/>
          <w:szCs w:val="28"/>
        </w:rPr>
        <w:t xml:space="preserve"> кодекс</w:t>
      </w:r>
      <w:r w:rsidR="00712F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України </w:t>
      </w:r>
      <w:r w:rsidRPr="007B40B0">
        <w:rPr>
          <w:rFonts w:ascii="Times New Roman" w:hAnsi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ідомості Верховної Ради України</w:t>
      </w:r>
      <w:r w:rsidRPr="007B40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2012, </w:t>
      </w:r>
      <w:r w:rsidR="0085546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7B40B0">
        <w:rPr>
          <w:rFonts w:ascii="Times New Roman" w:hAnsi="Times New Roman"/>
          <w:color w:val="000000"/>
          <w:sz w:val="28"/>
          <w:szCs w:val="28"/>
          <w:lang w:eastAsia="ru-RU"/>
        </w:rPr>
        <w:t>№ 44-45, № 46-47, № 48, ст.552)</w:t>
      </w:r>
      <w:r>
        <w:rPr>
          <w:rFonts w:ascii="Times New Roman" w:hAnsi="Times New Roman"/>
          <w:sz w:val="28"/>
          <w:szCs w:val="28"/>
        </w:rPr>
        <w:t>:</w:t>
      </w:r>
    </w:p>
    <w:p w:rsidR="00A32D56" w:rsidRPr="009351CB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32D56" w:rsidRPr="00224CB8" w:rsidRDefault="009A1A70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У частині першій статті 4 </w:t>
      </w:r>
      <w:r w:rsidR="00A32D5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A32D56" w:rsidRPr="00224CB8">
        <w:rPr>
          <w:rFonts w:ascii="Times New Roman" w:hAnsi="Times New Roman"/>
          <w:sz w:val="28"/>
          <w:szCs w:val="28"/>
        </w:rPr>
        <w:t>ункт</w:t>
      </w:r>
      <w:proofErr w:type="spellEnd"/>
      <w:r w:rsidR="00A32D56" w:rsidRPr="00224CB8">
        <w:rPr>
          <w:rFonts w:ascii="Times New Roman" w:hAnsi="Times New Roman"/>
          <w:sz w:val="28"/>
          <w:szCs w:val="28"/>
        </w:rPr>
        <w:t xml:space="preserve"> 34</w:t>
      </w:r>
      <w:r w:rsidR="00A32D56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A3E70">
        <w:rPr>
          <w:rFonts w:ascii="Times New Roman" w:hAnsi="Times New Roman"/>
          <w:sz w:val="28"/>
          <w:szCs w:val="28"/>
          <w:lang w:val="uk-UA"/>
        </w:rPr>
        <w:t>)</w:t>
      </w:r>
      <w:r w:rsidR="00A32D56">
        <w:rPr>
          <w:rFonts w:ascii="Times New Roman" w:hAnsi="Times New Roman"/>
          <w:sz w:val="28"/>
          <w:szCs w:val="28"/>
        </w:rPr>
        <w:t xml:space="preserve"> </w:t>
      </w:r>
      <w:r w:rsidR="00A32D56">
        <w:rPr>
          <w:rFonts w:ascii="Times New Roman" w:hAnsi="Times New Roman"/>
          <w:sz w:val="28"/>
          <w:szCs w:val="28"/>
          <w:lang w:val="uk-UA"/>
        </w:rPr>
        <w:t>викласти у такій редакції</w:t>
      </w:r>
      <w:r w:rsidR="00A32D56" w:rsidRPr="00224CB8">
        <w:rPr>
          <w:rFonts w:ascii="Times New Roman" w:hAnsi="Times New Roman"/>
          <w:sz w:val="28"/>
          <w:szCs w:val="28"/>
        </w:rPr>
        <w:t>:</w:t>
      </w:r>
    </w:p>
    <w:p w:rsidR="00A32D56" w:rsidRPr="00224CB8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32D56" w:rsidRPr="00224CB8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224CB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224CB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органи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224CB8">
        <w:rPr>
          <w:rFonts w:ascii="Times New Roman" w:hAnsi="Times New Roman"/>
          <w:sz w:val="28"/>
          <w:szCs w:val="28"/>
        </w:rPr>
        <w:t xml:space="preserve"> - </w:t>
      </w:r>
      <w:r w:rsidR="008865D3" w:rsidRPr="00486059">
        <w:rPr>
          <w:rStyle w:val="rvts0"/>
          <w:rFonts w:ascii="Times New Roman" w:hAnsi="Times New Roman"/>
          <w:sz w:val="28"/>
          <w:szCs w:val="28"/>
          <w:lang w:val="uk-UA"/>
        </w:rPr>
        <w:t>центральний орган виконавчої влади, що реалізує державну податкову політику, державну політику у сфері державної митної справи, державну політику з адміністрування</w:t>
      </w:r>
      <w:r w:rsidR="008865D3">
        <w:rPr>
          <w:rStyle w:val="rvts0"/>
          <w:rFonts w:ascii="Times New Roman" w:hAnsi="Times New Roman"/>
          <w:sz w:val="28"/>
          <w:szCs w:val="28"/>
          <w:lang w:val="uk-UA"/>
        </w:rPr>
        <w:t xml:space="preserve"> єдиного внеску на загальнообов’</w:t>
      </w:r>
      <w:r w:rsidR="008865D3" w:rsidRPr="00486059">
        <w:rPr>
          <w:rStyle w:val="rvts0"/>
          <w:rFonts w:ascii="Times New Roman" w:hAnsi="Times New Roman"/>
          <w:sz w:val="28"/>
          <w:szCs w:val="28"/>
          <w:lang w:val="uk-UA"/>
        </w:rPr>
        <w:t>язкове державне соціальне страхування, державну політику у</w:t>
      </w:r>
      <w:r w:rsidR="008865D3" w:rsidRPr="00712F9D">
        <w:rPr>
          <w:rStyle w:val="rvts0"/>
          <w:rFonts w:ascii="Times New Roman" w:hAnsi="Times New Roman"/>
          <w:sz w:val="28"/>
          <w:szCs w:val="28"/>
          <w:lang w:val="uk-UA"/>
        </w:rPr>
        <w:t xml:space="preserve"> сфері боротьби з правопорушеннями під час застосування податкового, митного законодавства, а також законодавства з питань сплати єдиного внеску</w:t>
      </w:r>
      <w:r w:rsidR="008865D3" w:rsidRPr="00492DD1">
        <w:rPr>
          <w:rFonts w:ascii="Times New Roman" w:eastAsia="Times New Roman" w:hAnsi="Times New Roman"/>
          <w:sz w:val="28"/>
          <w:szCs w:val="28"/>
          <w:lang w:val="uk-UA" w:eastAsia="ru-RU"/>
        </w:rPr>
        <w:t>, його територіальні органи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24CB8">
        <w:rPr>
          <w:rFonts w:ascii="Times New Roman" w:hAnsi="Times New Roman"/>
          <w:sz w:val="28"/>
          <w:szCs w:val="28"/>
        </w:rPr>
        <w:t>;</w:t>
      </w:r>
    </w:p>
    <w:p w:rsidR="00A32D56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D56" w:rsidRDefault="00840C3F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32D56" w:rsidRPr="00B90E6D">
        <w:rPr>
          <w:rFonts w:ascii="Times New Roman" w:hAnsi="Times New Roman"/>
          <w:sz w:val="28"/>
          <w:szCs w:val="28"/>
          <w:lang w:val="uk-UA"/>
        </w:rPr>
        <w:t>.</w:t>
      </w:r>
      <w:r w:rsidR="00A32D56">
        <w:rPr>
          <w:rFonts w:ascii="Times New Roman" w:hAnsi="Times New Roman"/>
          <w:sz w:val="28"/>
          <w:szCs w:val="28"/>
          <w:lang w:val="uk-UA"/>
        </w:rPr>
        <w:t> Статтю 25 викласти у такій редакції:</w:t>
      </w:r>
    </w:p>
    <w:p w:rsidR="00A32D56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D56" w:rsidRPr="00956FC2" w:rsidRDefault="00A32D56" w:rsidP="00A32D56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FC2">
        <w:rPr>
          <w:rFonts w:ascii="Times New Roman" w:hAnsi="Times New Roman"/>
          <w:b/>
          <w:sz w:val="28"/>
          <w:szCs w:val="28"/>
          <w:lang w:val="uk-UA"/>
        </w:rPr>
        <w:t>«Стаття 25. Порядок оскарження рішень, дій або бездіяльності органів</w:t>
      </w:r>
      <w:r w:rsidR="00AC250E">
        <w:rPr>
          <w:rFonts w:ascii="Times New Roman" w:hAnsi="Times New Roman"/>
          <w:b/>
          <w:sz w:val="28"/>
          <w:szCs w:val="28"/>
          <w:lang w:val="uk-UA"/>
        </w:rPr>
        <w:t xml:space="preserve"> доходів і зборів</w:t>
      </w:r>
      <w:r w:rsidRPr="00956FC2">
        <w:rPr>
          <w:rFonts w:ascii="Times New Roman" w:hAnsi="Times New Roman"/>
          <w:b/>
          <w:sz w:val="28"/>
          <w:szCs w:val="28"/>
          <w:lang w:val="uk-UA"/>
        </w:rPr>
        <w:t>, їх поса</w:t>
      </w:r>
      <w:r>
        <w:rPr>
          <w:rFonts w:ascii="Times New Roman" w:hAnsi="Times New Roman"/>
          <w:b/>
          <w:sz w:val="28"/>
          <w:szCs w:val="28"/>
          <w:lang w:val="uk-UA"/>
        </w:rPr>
        <w:t>дових осіб та інших працівників</w:t>
      </w:r>
    </w:p>
    <w:p w:rsidR="00A32D56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D56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10569">
        <w:rPr>
          <w:rFonts w:ascii="Times New Roman" w:hAnsi="Times New Roman"/>
          <w:sz w:val="28"/>
          <w:szCs w:val="28"/>
          <w:lang w:val="uk-UA"/>
        </w:rPr>
        <w:t xml:space="preserve">Скарга на рішення, дії або бездіяльність посадової особи або іншого працівника </w:t>
      </w:r>
      <w:r>
        <w:rPr>
          <w:rFonts w:ascii="Times New Roman" w:hAnsi="Times New Roman"/>
          <w:sz w:val="28"/>
          <w:szCs w:val="28"/>
          <w:lang w:val="uk-UA"/>
        </w:rPr>
        <w:t>територіального органу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110569">
        <w:rPr>
          <w:rFonts w:ascii="Times New Roman" w:hAnsi="Times New Roman"/>
          <w:sz w:val="28"/>
          <w:szCs w:val="28"/>
          <w:lang w:val="uk-UA"/>
        </w:rPr>
        <w:t xml:space="preserve"> (включаючи заступника керівника) подається керівникові цього органу.</w:t>
      </w:r>
    </w:p>
    <w:p w:rsidR="00A32D56" w:rsidRPr="00956FC2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110569">
        <w:rPr>
          <w:rFonts w:ascii="Times New Roman" w:hAnsi="Times New Roman"/>
          <w:sz w:val="28"/>
          <w:szCs w:val="28"/>
          <w:lang w:val="uk-UA"/>
        </w:rPr>
        <w:t xml:space="preserve">Скарга на рішення, дії або бездіяльність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територіального органу </w:t>
      </w:r>
      <w:r w:rsidR="00AC250E">
        <w:rPr>
          <w:rFonts w:ascii="Times New Roman" w:hAnsi="Times New Roman"/>
          <w:sz w:val="28"/>
          <w:szCs w:val="28"/>
          <w:lang w:val="uk-UA"/>
        </w:rPr>
        <w:t>доходів і зборів</w:t>
      </w:r>
      <w:r w:rsidR="00AC250E" w:rsidRPr="00110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0569">
        <w:rPr>
          <w:rFonts w:ascii="Times New Roman" w:hAnsi="Times New Roman"/>
          <w:sz w:val="28"/>
          <w:szCs w:val="28"/>
          <w:lang w:val="uk-UA"/>
        </w:rPr>
        <w:t>подається до центрального органу виконавчої влади, що реалізує державну податкову і митну політику.</w:t>
      </w:r>
    </w:p>
    <w:p w:rsidR="00A32D56" w:rsidRPr="00956FC2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56FC2">
        <w:rPr>
          <w:rFonts w:ascii="Times New Roman" w:hAnsi="Times New Roman"/>
          <w:sz w:val="28"/>
          <w:szCs w:val="28"/>
          <w:lang w:val="uk-UA"/>
        </w:rPr>
        <w:t>. Виконання оскаржуваного рішення може бути зупинено повністю чи в певній частині посадовою особою або органом, що розглядає скаргу. Посадова особа або орган, які розглядають скаргу, зобов’язані надати особі, яка подала скаргу, належним чином обґрунтовану письмову відповідь у визначений законом строк. Виконання оскаржуваного податкового повідомлення-рішення здійснюється у порядку, передбаченому Податковим кодексом України.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A32D56" w:rsidRDefault="00A32D56" w:rsidP="00A32D56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E70" w:rsidRPr="00965A72" w:rsidRDefault="00840C3F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AA3E70" w:rsidRPr="00965A72">
        <w:rPr>
          <w:rFonts w:ascii="Times New Roman" w:hAnsi="Times New Roman"/>
          <w:sz w:val="28"/>
          <w:szCs w:val="28"/>
          <w:lang w:val="uk-UA"/>
        </w:rPr>
        <w:t>. </w:t>
      </w:r>
      <w:r w:rsidR="00AA3E70">
        <w:rPr>
          <w:rFonts w:ascii="Times New Roman" w:hAnsi="Times New Roman"/>
          <w:sz w:val="28"/>
          <w:szCs w:val="28"/>
          <w:lang w:val="uk-UA"/>
        </w:rPr>
        <w:t>У підпункті 6 частини другої статті </w:t>
      </w:r>
      <w:r w:rsidR="00AA3E70" w:rsidRPr="00965A72">
        <w:rPr>
          <w:rFonts w:ascii="Times New Roman" w:hAnsi="Times New Roman"/>
          <w:sz w:val="28"/>
          <w:szCs w:val="28"/>
          <w:lang w:val="uk-UA"/>
        </w:rPr>
        <w:t>255, частинах першій і третій статті 320, частин</w:t>
      </w:r>
      <w:r w:rsidR="00AA3E70">
        <w:rPr>
          <w:rFonts w:ascii="Times New Roman" w:hAnsi="Times New Roman"/>
          <w:sz w:val="28"/>
          <w:szCs w:val="28"/>
          <w:lang w:val="uk-UA"/>
        </w:rPr>
        <w:t>і</w:t>
      </w:r>
      <w:r w:rsidR="00AA3E70" w:rsidRPr="00965A72">
        <w:rPr>
          <w:rFonts w:ascii="Times New Roman" w:hAnsi="Times New Roman"/>
          <w:sz w:val="28"/>
          <w:szCs w:val="28"/>
          <w:lang w:val="uk-UA"/>
        </w:rPr>
        <w:t xml:space="preserve"> третій статті 332 слова «митний пост» у всіх відмінках та числах </w:t>
      </w:r>
      <w:r w:rsidR="00AA3E70" w:rsidRPr="007E6738">
        <w:rPr>
          <w:rFonts w:ascii="Times New Roman" w:hAnsi="Times New Roman"/>
          <w:sz w:val="28"/>
          <w:szCs w:val="28"/>
          <w:lang w:val="uk-UA"/>
        </w:rPr>
        <w:t>вилучити</w:t>
      </w:r>
      <w:r w:rsidR="00AA3E70" w:rsidRPr="00965A72">
        <w:rPr>
          <w:rFonts w:ascii="Times New Roman" w:hAnsi="Times New Roman"/>
          <w:sz w:val="28"/>
          <w:szCs w:val="28"/>
          <w:lang w:val="uk-UA"/>
        </w:rPr>
        <w:t>;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65A72">
        <w:rPr>
          <w:rFonts w:ascii="Times New Roman" w:hAnsi="Times New Roman"/>
          <w:sz w:val="28"/>
          <w:szCs w:val="28"/>
          <w:lang w:val="uk-UA"/>
        </w:rPr>
        <w:t>. Частину другу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65A72">
        <w:rPr>
          <w:rFonts w:ascii="Times New Roman" w:hAnsi="Times New Roman"/>
          <w:sz w:val="28"/>
          <w:szCs w:val="28"/>
          <w:lang w:val="uk-UA"/>
        </w:rPr>
        <w:t> 332 викласти у такій редакції: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6738">
        <w:rPr>
          <w:rFonts w:ascii="Times New Roman" w:hAnsi="Times New Roman"/>
          <w:sz w:val="28"/>
          <w:szCs w:val="28"/>
          <w:lang w:val="uk-UA"/>
        </w:rPr>
        <w:t>«</w:t>
      </w:r>
      <w:r w:rsidRPr="00965A7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b/>
          <w:lang w:val="uk-UA"/>
        </w:rPr>
        <w:t> </w:t>
      </w:r>
      <w:r w:rsidRPr="00965A72">
        <w:rPr>
          <w:rFonts w:ascii="Times New Roman" w:hAnsi="Times New Roman"/>
          <w:sz w:val="28"/>
          <w:szCs w:val="28"/>
          <w:lang w:val="uk-UA"/>
        </w:rPr>
        <w:t>Проведення господарських робіт у зоні митного контролю, переміщення через межі зони митного контролю і в межах цієї зони товарів, транспортних засобів, громадян, які не перетинають митний кордон України, посадових осіб державних органів, які не здійснюють види контролю, зазначені у частині першій статті 319 цього Кодексу, відбуваються з дотриманням режиму зони митного контролю і допускаються тільки з письмового дозволу керівника відповідного органу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965A72">
        <w:rPr>
          <w:rFonts w:ascii="Times New Roman" w:hAnsi="Times New Roman"/>
          <w:sz w:val="28"/>
          <w:szCs w:val="28"/>
          <w:lang w:val="uk-UA"/>
        </w:rPr>
        <w:t xml:space="preserve"> або особи, яка виконує його обов’язки, а в зонах митного контролю, розташованих у пунктах пропуску через державний кордон України, - крім того, за погодженням з начальником відповідного органу охорони державного кордону. Особам, допущеним у зону митного контролю, забороняється втручатися у дії посадових осіб митниці, які здійснюють митний контроль та митне оформлення, а також вчиняти будь-які дії щодо товарів, транспортних засобів, а також інших осіб, які знаходяться у зоні митного контролю, якщо інше не передбачено законом.»;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65A72">
        <w:rPr>
          <w:rFonts w:ascii="Times New Roman" w:hAnsi="Times New Roman"/>
          <w:sz w:val="28"/>
          <w:szCs w:val="28"/>
          <w:lang w:val="uk-UA"/>
        </w:rPr>
        <w:t>. Статтю 546 викласти у такій редакції: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A3E70" w:rsidRPr="00965A72" w:rsidRDefault="00AA3E70" w:rsidP="00AA3E70">
      <w:pPr>
        <w:pStyle w:val="a7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A72">
        <w:rPr>
          <w:rFonts w:ascii="Times New Roman" w:hAnsi="Times New Roman"/>
          <w:b/>
          <w:sz w:val="28"/>
          <w:szCs w:val="28"/>
          <w:lang w:val="uk-UA"/>
        </w:rPr>
        <w:t>«Стаття 546. Митниці</w:t>
      </w:r>
    </w:p>
    <w:p w:rsidR="00AA3E70" w:rsidRPr="00965A72" w:rsidRDefault="00AA3E70" w:rsidP="00AA3E70">
      <w:pPr>
        <w:pStyle w:val="a7"/>
        <w:ind w:left="0" w:firstLine="851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5A72">
        <w:rPr>
          <w:rFonts w:ascii="Times New Roman" w:hAnsi="Times New Roman"/>
          <w:sz w:val="28"/>
          <w:szCs w:val="28"/>
          <w:lang w:val="uk-UA"/>
        </w:rPr>
        <w:t>1. Митниці є структурними підрозділами органів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965A72">
        <w:rPr>
          <w:rFonts w:ascii="Times New Roman" w:hAnsi="Times New Roman"/>
          <w:sz w:val="28"/>
          <w:szCs w:val="28"/>
          <w:lang w:val="uk-UA"/>
        </w:rPr>
        <w:t>, які у зоні своєї діяльності забезпечують виконання з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авдань, покладених на </w:t>
      </w:r>
      <w:r w:rsidRPr="00965A72">
        <w:rPr>
          <w:rFonts w:ascii="Times New Roman" w:hAnsi="Times New Roman"/>
          <w:sz w:val="28"/>
          <w:szCs w:val="28"/>
          <w:lang w:val="uk-UA"/>
        </w:rPr>
        <w:t>органи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965A72">
        <w:rPr>
          <w:rFonts w:ascii="Times New Roman" w:hAnsi="Times New Roman"/>
          <w:sz w:val="28"/>
          <w:szCs w:val="28"/>
          <w:lang w:val="uk-UA"/>
        </w:rPr>
        <w:t>.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5A72">
        <w:rPr>
          <w:rFonts w:ascii="Times New Roman" w:hAnsi="Times New Roman"/>
          <w:sz w:val="28"/>
          <w:szCs w:val="28"/>
          <w:lang w:val="uk-UA"/>
        </w:rPr>
        <w:t xml:space="preserve">2. Митниця </w:t>
      </w:r>
      <w:r>
        <w:rPr>
          <w:rFonts w:ascii="Times New Roman" w:hAnsi="Times New Roman"/>
          <w:sz w:val="28"/>
          <w:szCs w:val="28"/>
          <w:lang w:val="uk-UA"/>
        </w:rPr>
        <w:t>провадить</w:t>
      </w:r>
      <w:r w:rsidRPr="00965A72">
        <w:rPr>
          <w:rFonts w:ascii="Times New Roman" w:hAnsi="Times New Roman"/>
          <w:sz w:val="28"/>
          <w:szCs w:val="28"/>
          <w:lang w:val="uk-UA"/>
        </w:rPr>
        <w:t xml:space="preserve"> свою діяльність на те</w:t>
      </w:r>
      <w:r w:rsidR="00AC250E">
        <w:rPr>
          <w:rFonts w:ascii="Times New Roman" w:hAnsi="Times New Roman"/>
          <w:sz w:val="28"/>
          <w:szCs w:val="28"/>
          <w:lang w:val="uk-UA"/>
        </w:rPr>
        <w:t>риторії відповідного</w:t>
      </w:r>
      <w:r w:rsidRPr="00965A72">
        <w:rPr>
          <w:rFonts w:ascii="Times New Roman" w:hAnsi="Times New Roman"/>
          <w:sz w:val="28"/>
          <w:szCs w:val="28"/>
          <w:lang w:val="uk-UA"/>
        </w:rPr>
        <w:t xml:space="preserve"> органу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965A72">
        <w:rPr>
          <w:rFonts w:ascii="Times New Roman" w:hAnsi="Times New Roman"/>
          <w:sz w:val="28"/>
          <w:szCs w:val="28"/>
          <w:lang w:val="uk-UA"/>
        </w:rPr>
        <w:t>.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5A72">
        <w:rPr>
          <w:rFonts w:ascii="Times New Roman" w:hAnsi="Times New Roman"/>
          <w:sz w:val="28"/>
          <w:szCs w:val="28"/>
          <w:lang w:val="uk-UA"/>
        </w:rPr>
        <w:t>3. У міру необхідності митниці створюються у населених пунктах, на залізничних станціях, в аеропортах, морських і річкових портах та інших об’єктах, розташованих у зоні діяльності органу</w:t>
      </w:r>
      <w:r w:rsidR="00AC250E">
        <w:rPr>
          <w:rFonts w:ascii="Times New Roman" w:hAnsi="Times New Roman"/>
          <w:sz w:val="28"/>
          <w:szCs w:val="28"/>
          <w:lang w:val="uk-UA"/>
        </w:rPr>
        <w:t xml:space="preserve"> доходів і зборів</w:t>
      </w:r>
      <w:r w:rsidRPr="00965A72">
        <w:rPr>
          <w:rFonts w:ascii="Times New Roman" w:hAnsi="Times New Roman"/>
          <w:sz w:val="28"/>
          <w:szCs w:val="28"/>
          <w:lang w:val="uk-UA"/>
        </w:rPr>
        <w:t>. Зони діяльності митниць визначаються положеннями про них.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5A72">
        <w:rPr>
          <w:rFonts w:ascii="Times New Roman" w:hAnsi="Times New Roman"/>
          <w:sz w:val="28"/>
          <w:szCs w:val="28"/>
          <w:lang w:val="uk-UA"/>
        </w:rPr>
        <w:t>4. Створення, реорганізація та ліквідація митниць здійснюються центральним органом виконавчої влади, що реалізує державну податкову і митну політику, в порядку, визначеному законом.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5A72">
        <w:rPr>
          <w:rFonts w:ascii="Times New Roman" w:hAnsi="Times New Roman"/>
          <w:sz w:val="28"/>
          <w:szCs w:val="28"/>
          <w:lang w:val="uk-UA"/>
        </w:rPr>
        <w:t>5. Начальник митниці призначається керівником центрального органу виконавчої влади, що реалізує державну податкову і митну політику.»;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Pr="00965A72">
        <w:rPr>
          <w:rFonts w:ascii="Times New Roman" w:hAnsi="Times New Roman"/>
          <w:sz w:val="28"/>
          <w:szCs w:val="28"/>
          <w:lang w:val="uk-UA"/>
        </w:rPr>
        <w:t>. Статтю 547 </w:t>
      </w:r>
      <w:r w:rsidRPr="007E6738">
        <w:rPr>
          <w:rFonts w:ascii="Times New Roman" w:hAnsi="Times New Roman"/>
          <w:sz w:val="28"/>
          <w:szCs w:val="28"/>
          <w:lang w:val="uk-UA"/>
        </w:rPr>
        <w:t>вилучити</w:t>
      </w:r>
      <w:r w:rsidRPr="00965A72">
        <w:rPr>
          <w:rFonts w:ascii="Times New Roman" w:hAnsi="Times New Roman"/>
          <w:sz w:val="28"/>
          <w:szCs w:val="28"/>
          <w:lang w:val="uk-UA"/>
        </w:rPr>
        <w:t>;</w:t>
      </w:r>
    </w:p>
    <w:p w:rsidR="00AA3E70" w:rsidRPr="00965A72" w:rsidRDefault="00AA3E70" w:rsidP="00AA3E70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D56" w:rsidRDefault="00A32D56" w:rsidP="00A32D56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509">
        <w:rPr>
          <w:rFonts w:ascii="Times New Roman" w:hAnsi="Times New Roman"/>
          <w:sz w:val="28"/>
          <w:szCs w:val="28"/>
          <w:lang w:val="uk-UA"/>
        </w:rPr>
        <w:t xml:space="preserve">ІІ. </w:t>
      </w:r>
      <w:r>
        <w:rPr>
          <w:rFonts w:ascii="Times New Roman" w:hAnsi="Times New Roman"/>
          <w:sz w:val="28"/>
          <w:szCs w:val="28"/>
          <w:lang w:val="uk-UA"/>
        </w:rPr>
        <w:t>Прикінцеві та перехідні положення</w:t>
      </w:r>
    </w:p>
    <w:p w:rsidR="00A32D56" w:rsidRDefault="00A32D56" w:rsidP="00A32D56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7B6509">
        <w:rPr>
          <w:rFonts w:ascii="Times New Roman" w:hAnsi="Times New Roman"/>
          <w:sz w:val="28"/>
          <w:szCs w:val="28"/>
          <w:lang w:val="uk-UA"/>
        </w:rPr>
        <w:t>Це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B6509">
        <w:rPr>
          <w:rFonts w:ascii="Times New Roman" w:hAnsi="Times New Roman"/>
          <w:sz w:val="28"/>
          <w:szCs w:val="28"/>
          <w:lang w:val="uk-UA"/>
        </w:rPr>
        <w:t xml:space="preserve"> закон набирає чинності з дня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B6509">
        <w:rPr>
          <w:rFonts w:ascii="Times New Roman" w:hAnsi="Times New Roman"/>
          <w:sz w:val="28"/>
          <w:szCs w:val="28"/>
          <w:lang w:val="uk-UA"/>
        </w:rPr>
        <w:t xml:space="preserve"> наступного після його опублікування.</w:t>
      </w:r>
    </w:p>
    <w:p w:rsidR="00A32D56" w:rsidRPr="00984549" w:rsidRDefault="00AA3E70" w:rsidP="00A32D5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32D56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Міні</w:t>
      </w:r>
      <w:proofErr w:type="gramStart"/>
      <w:r w:rsidR="00A32D56" w:rsidRPr="00984549">
        <w:rPr>
          <w:rFonts w:ascii="Times New Roman" w:hAnsi="Times New Roman"/>
          <w:sz w:val="28"/>
          <w:szCs w:val="28"/>
        </w:rPr>
        <w:t>стр</w:t>
      </w:r>
      <w:proofErr w:type="gramEnd"/>
      <w:r w:rsidR="00A32D56" w:rsidRPr="00984549">
        <w:rPr>
          <w:rFonts w:ascii="Times New Roman" w:hAnsi="Times New Roman"/>
          <w:sz w:val="28"/>
          <w:szCs w:val="28"/>
        </w:rPr>
        <w:t>ів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України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протягом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трьох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місяців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з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набрання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чинності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D56" w:rsidRPr="00984549">
        <w:rPr>
          <w:rFonts w:ascii="Times New Roman" w:hAnsi="Times New Roman"/>
          <w:sz w:val="28"/>
          <w:szCs w:val="28"/>
        </w:rPr>
        <w:t>цим</w:t>
      </w:r>
      <w:proofErr w:type="spellEnd"/>
      <w:r w:rsidR="00A32D56" w:rsidRPr="00984549">
        <w:rPr>
          <w:rFonts w:ascii="Times New Roman" w:hAnsi="Times New Roman"/>
          <w:sz w:val="28"/>
          <w:szCs w:val="28"/>
        </w:rPr>
        <w:t xml:space="preserve"> Законом:</w:t>
      </w:r>
    </w:p>
    <w:p w:rsidR="00A32D56" w:rsidRPr="00984549" w:rsidRDefault="00A32D56" w:rsidP="00A32D5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549">
        <w:rPr>
          <w:rFonts w:ascii="Times New Roman" w:hAnsi="Times New Roman"/>
          <w:sz w:val="28"/>
          <w:szCs w:val="28"/>
        </w:rPr>
        <w:t xml:space="preserve">привести </w:t>
      </w:r>
      <w:proofErr w:type="spellStart"/>
      <w:r w:rsidRPr="00984549">
        <w:rPr>
          <w:rFonts w:ascii="Times New Roman" w:hAnsi="Times New Roman"/>
          <w:sz w:val="28"/>
          <w:szCs w:val="28"/>
        </w:rPr>
        <w:t>свої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нормативно-правові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акти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4549">
        <w:rPr>
          <w:rFonts w:ascii="Times New Roman" w:hAnsi="Times New Roman"/>
          <w:sz w:val="28"/>
          <w:szCs w:val="28"/>
        </w:rPr>
        <w:t>у</w:t>
      </w:r>
      <w:proofErr w:type="gram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r w:rsidR="00AA3E70">
        <w:rPr>
          <w:rFonts w:ascii="Times New Roman" w:hAnsi="Times New Roman"/>
          <w:sz w:val="28"/>
          <w:szCs w:val="28"/>
          <w:lang w:val="uk-UA"/>
        </w:rPr>
        <w:t>до цього Закону</w:t>
      </w:r>
      <w:r w:rsidRPr="00984549">
        <w:rPr>
          <w:rFonts w:ascii="Times New Roman" w:hAnsi="Times New Roman"/>
          <w:sz w:val="28"/>
          <w:szCs w:val="28"/>
        </w:rPr>
        <w:t>;</w:t>
      </w:r>
    </w:p>
    <w:p w:rsidR="00A32D56" w:rsidRPr="00984549" w:rsidRDefault="00A32D56" w:rsidP="00A32D5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4549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перегляд та </w:t>
      </w:r>
      <w:proofErr w:type="spellStart"/>
      <w:r w:rsidRPr="0098454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центральними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984549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влади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їх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49">
        <w:rPr>
          <w:rFonts w:ascii="Times New Roman" w:hAnsi="Times New Roman"/>
          <w:sz w:val="28"/>
          <w:szCs w:val="28"/>
        </w:rPr>
        <w:t>акті</w:t>
      </w:r>
      <w:proofErr w:type="gramStart"/>
      <w:r w:rsidRPr="0098454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8454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4549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84549">
        <w:rPr>
          <w:rFonts w:ascii="Times New Roman" w:hAnsi="Times New Roman"/>
          <w:sz w:val="28"/>
          <w:szCs w:val="28"/>
        </w:rPr>
        <w:t xml:space="preserve"> </w:t>
      </w:r>
      <w:r w:rsidR="00AA3E70">
        <w:rPr>
          <w:rFonts w:ascii="Times New Roman" w:hAnsi="Times New Roman"/>
          <w:sz w:val="28"/>
          <w:szCs w:val="28"/>
          <w:lang w:val="uk-UA"/>
        </w:rPr>
        <w:t>до цього Закону</w:t>
      </w:r>
      <w:r w:rsidRPr="00984549">
        <w:rPr>
          <w:rFonts w:ascii="Times New Roman" w:hAnsi="Times New Roman"/>
          <w:sz w:val="28"/>
          <w:szCs w:val="28"/>
        </w:rPr>
        <w:t>.</w:t>
      </w:r>
    </w:p>
    <w:p w:rsidR="00A32D56" w:rsidRPr="009351CB" w:rsidRDefault="00A32D56" w:rsidP="00A32D56">
      <w:pPr>
        <w:pStyle w:val="a7"/>
        <w:ind w:left="0"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32D56" w:rsidRPr="007B6509" w:rsidRDefault="00A32D56" w:rsidP="00A32D56">
      <w:pPr>
        <w:spacing w:before="720" w:after="0"/>
        <w:rPr>
          <w:rFonts w:ascii="Times New Roman" w:hAnsi="Times New Roman"/>
          <w:b/>
          <w:sz w:val="27"/>
          <w:szCs w:val="27"/>
          <w:lang w:val="uk-UA"/>
        </w:rPr>
      </w:pPr>
      <w:r w:rsidRPr="007B6509">
        <w:rPr>
          <w:rFonts w:ascii="Times New Roman" w:hAnsi="Times New Roman"/>
          <w:b/>
          <w:sz w:val="27"/>
          <w:szCs w:val="27"/>
          <w:lang w:val="uk-UA"/>
        </w:rPr>
        <w:t>Президент України</w:t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</w:r>
      <w:r w:rsidRPr="007B6509">
        <w:rPr>
          <w:rFonts w:ascii="Times New Roman" w:hAnsi="Times New Roman"/>
          <w:b/>
          <w:sz w:val="27"/>
          <w:szCs w:val="27"/>
          <w:lang w:val="uk-UA"/>
        </w:rPr>
        <w:tab/>
        <w:t>П. ПОРОШЕНКО</w:t>
      </w:r>
    </w:p>
    <w:p w:rsidR="00992EDB" w:rsidRDefault="00A32D56" w:rsidP="00840C3F">
      <w:pPr>
        <w:spacing w:after="80"/>
        <w:ind w:firstLine="680"/>
      </w:pPr>
      <w:r w:rsidRPr="007B6509">
        <w:rPr>
          <w:rFonts w:ascii="Times New Roman" w:hAnsi="Times New Roman"/>
          <w:b/>
          <w:sz w:val="27"/>
          <w:szCs w:val="27"/>
          <w:lang w:val="uk-UA"/>
        </w:rPr>
        <w:t>м. Київ</w:t>
      </w:r>
    </w:p>
    <w:sectPr w:rsidR="00992EDB" w:rsidSect="009351CB">
      <w:headerReference w:type="default" r:id="rId6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7D" w:rsidRDefault="006B3A7D" w:rsidP="008446C4">
      <w:pPr>
        <w:spacing w:after="0" w:line="240" w:lineRule="auto"/>
      </w:pPr>
      <w:r>
        <w:separator/>
      </w:r>
    </w:p>
  </w:endnote>
  <w:endnote w:type="continuationSeparator" w:id="0">
    <w:p w:rsidR="006B3A7D" w:rsidRDefault="006B3A7D" w:rsidP="008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7D" w:rsidRDefault="006B3A7D" w:rsidP="008446C4">
      <w:pPr>
        <w:spacing w:after="0" w:line="240" w:lineRule="auto"/>
      </w:pPr>
      <w:r>
        <w:separator/>
      </w:r>
    </w:p>
  </w:footnote>
  <w:footnote w:type="continuationSeparator" w:id="0">
    <w:p w:rsidR="006B3A7D" w:rsidRDefault="006B3A7D" w:rsidP="008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E2" w:rsidRDefault="00150036">
    <w:pPr>
      <w:pStyle w:val="a8"/>
      <w:jc w:val="center"/>
    </w:pPr>
    <w:r>
      <w:fldChar w:fldCharType="begin"/>
    </w:r>
    <w:r w:rsidR="00A32D56">
      <w:instrText xml:space="preserve"> PAGE   \* MERGEFORMAT </w:instrText>
    </w:r>
    <w:r>
      <w:fldChar w:fldCharType="separate"/>
    </w:r>
    <w:r w:rsidR="00D1251E">
      <w:rPr>
        <w:noProof/>
      </w:rPr>
      <w:t>2</w:t>
    </w:r>
    <w:r>
      <w:fldChar w:fldCharType="end"/>
    </w:r>
  </w:p>
  <w:p w:rsidR="00827FE2" w:rsidRDefault="006B3A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D56"/>
    <w:rsid w:val="000B7479"/>
    <w:rsid w:val="0013240A"/>
    <w:rsid w:val="00150036"/>
    <w:rsid w:val="001858F6"/>
    <w:rsid w:val="0046363E"/>
    <w:rsid w:val="006B3A7D"/>
    <w:rsid w:val="00712F9D"/>
    <w:rsid w:val="0073539A"/>
    <w:rsid w:val="00840C3F"/>
    <w:rsid w:val="008446C4"/>
    <w:rsid w:val="00855463"/>
    <w:rsid w:val="008865D3"/>
    <w:rsid w:val="00992EDB"/>
    <w:rsid w:val="009A1A70"/>
    <w:rsid w:val="00A32D56"/>
    <w:rsid w:val="00AA3E70"/>
    <w:rsid w:val="00AC250E"/>
    <w:rsid w:val="00C53672"/>
    <w:rsid w:val="00D1251E"/>
    <w:rsid w:val="00E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2D56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4">
    <w:name w:val="Установа"/>
    <w:basedOn w:val="a"/>
    <w:rsid w:val="00A32D56"/>
    <w:pPr>
      <w:keepNext/>
      <w:keepLines/>
      <w:suppressAutoHyphens/>
      <w:spacing w:before="120" w:after="0" w:line="240" w:lineRule="auto"/>
      <w:jc w:val="center"/>
    </w:pPr>
    <w:rPr>
      <w:rFonts w:ascii="Antiqua" w:eastAsia="Times New Roman" w:hAnsi="Antiqua" w:cs="Antiqua"/>
      <w:b/>
      <w:i/>
      <w:caps/>
      <w:sz w:val="48"/>
      <w:szCs w:val="20"/>
      <w:lang w:val="uk-UA" w:eastAsia="ar-SA"/>
    </w:rPr>
  </w:style>
  <w:style w:type="paragraph" w:customStyle="1" w:styleId="a5">
    <w:name w:val="Вид документа"/>
    <w:basedOn w:val="a4"/>
    <w:next w:val="a"/>
    <w:rsid w:val="00A32D56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A32D56"/>
    <w:pPr>
      <w:keepNext/>
      <w:keepLines/>
      <w:suppressAutoHyphens/>
      <w:spacing w:before="360" w:after="36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ar-SA"/>
    </w:rPr>
  </w:style>
  <w:style w:type="paragraph" w:styleId="a7">
    <w:name w:val="List Paragraph"/>
    <w:basedOn w:val="a"/>
    <w:uiPriority w:val="99"/>
    <w:qFormat/>
    <w:rsid w:val="00A32D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2D56"/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A32D56"/>
  </w:style>
  <w:style w:type="paragraph" w:customStyle="1" w:styleId="rvps2">
    <w:name w:val="rvps2"/>
    <w:basedOn w:val="a"/>
    <w:rsid w:val="00A32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A32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2015-05-19T08:30:00Z</dcterms:created>
  <dcterms:modified xsi:type="dcterms:W3CDTF">2015-05-25T13:59:00Z</dcterms:modified>
</cp:coreProperties>
</file>