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80A" w:rsidRPr="00C0750B" w:rsidRDefault="001F480A" w:rsidP="001F480A">
      <w:pPr>
        <w:rPr>
          <w:sz w:val="24"/>
          <w:lang w:val="en-US"/>
        </w:rPr>
      </w:pPr>
    </w:p>
    <w:p w:rsidR="001D5BA8" w:rsidRPr="001D5BA8" w:rsidRDefault="001D5BA8" w:rsidP="001D5BA8">
      <w:pPr>
        <w:suppressAutoHyphens w:val="0"/>
        <w:jc w:val="center"/>
        <w:rPr>
          <w:b/>
          <w:sz w:val="28"/>
          <w:szCs w:val="28"/>
          <w:lang w:val="uk-UA"/>
        </w:rPr>
      </w:pPr>
      <w:r w:rsidRPr="001D5BA8">
        <w:rPr>
          <w:b/>
          <w:sz w:val="28"/>
          <w:szCs w:val="28"/>
          <w:lang w:val="uk-UA"/>
        </w:rPr>
        <w:t xml:space="preserve">Обґрунтування технічних та якісних характеристик </w:t>
      </w:r>
    </w:p>
    <w:p w:rsidR="001D5BA8" w:rsidRPr="001D5BA8" w:rsidRDefault="001D5BA8" w:rsidP="001D5BA8">
      <w:pPr>
        <w:suppressAutoHyphens w:val="0"/>
        <w:jc w:val="center"/>
        <w:rPr>
          <w:b/>
          <w:sz w:val="28"/>
          <w:szCs w:val="28"/>
          <w:lang w:val="uk-UA"/>
        </w:rPr>
      </w:pPr>
      <w:r w:rsidRPr="001D5BA8">
        <w:rPr>
          <w:b/>
          <w:sz w:val="28"/>
          <w:szCs w:val="28"/>
          <w:lang w:val="uk-UA"/>
        </w:rPr>
        <w:t>предмета закупівлі, розміру бюджетного призначення, очікуваної вартості предмета закупівлі</w:t>
      </w:r>
    </w:p>
    <w:p w:rsidR="001D5BA8" w:rsidRDefault="001D5BA8" w:rsidP="001D5BA8">
      <w:pPr>
        <w:suppressAutoHyphens w:val="0"/>
        <w:contextualSpacing/>
        <w:jc w:val="center"/>
        <w:rPr>
          <w:sz w:val="28"/>
          <w:szCs w:val="28"/>
        </w:rPr>
      </w:pPr>
      <w:r w:rsidRPr="001D5BA8">
        <w:rPr>
          <w:sz w:val="28"/>
          <w:szCs w:val="28"/>
          <w:lang w:val="uk-UA"/>
        </w:rPr>
        <w:t>(відповідно до пункту 4</w:t>
      </w:r>
      <w:r w:rsidRPr="001D5BA8">
        <w:rPr>
          <w:sz w:val="28"/>
          <w:szCs w:val="28"/>
          <w:vertAlign w:val="superscript"/>
          <w:lang w:val="uk-UA"/>
        </w:rPr>
        <w:t xml:space="preserve">1 </w:t>
      </w:r>
      <w:r w:rsidRPr="001D5BA8">
        <w:rPr>
          <w:sz w:val="28"/>
          <w:szCs w:val="28"/>
          <w:lang w:val="uk-UA"/>
        </w:rPr>
        <w:t xml:space="preserve">постанови Кабінету Міністрів України від 11 жовтня </w:t>
      </w:r>
      <w:r w:rsidRPr="001D5BA8">
        <w:rPr>
          <w:sz w:val="28"/>
          <w:szCs w:val="28"/>
          <w:lang w:val="uk-UA"/>
        </w:rPr>
        <w:br/>
        <w:t>2016 року № 710 «Про ефективне використання державних коштів»</w:t>
      </w:r>
      <w:r w:rsidRPr="001D5BA8">
        <w:rPr>
          <w:sz w:val="28"/>
          <w:szCs w:val="28"/>
        </w:rPr>
        <w:t>)</w:t>
      </w:r>
    </w:p>
    <w:p w:rsidR="00233D09" w:rsidRDefault="00233D09" w:rsidP="001D5BA8">
      <w:pPr>
        <w:suppressAutoHyphens w:val="0"/>
        <w:contextualSpacing/>
        <w:jc w:val="center"/>
        <w:rPr>
          <w:sz w:val="28"/>
          <w:szCs w:val="28"/>
        </w:rPr>
      </w:pPr>
    </w:p>
    <w:tbl>
      <w:tblPr>
        <w:tblStyle w:val="1"/>
        <w:tblW w:w="0" w:type="auto"/>
        <w:tblLook w:val="04A0" w:firstRow="1" w:lastRow="0" w:firstColumn="1" w:lastColumn="0" w:noHBand="0" w:noVBand="1"/>
      </w:tblPr>
      <w:tblGrid>
        <w:gridCol w:w="817"/>
        <w:gridCol w:w="3402"/>
        <w:gridCol w:w="5954"/>
      </w:tblGrid>
      <w:tr w:rsidR="00233D09" w:rsidRPr="00233D09" w:rsidTr="00233D09">
        <w:tc>
          <w:tcPr>
            <w:tcW w:w="817" w:type="dxa"/>
          </w:tcPr>
          <w:p w:rsidR="00233D09" w:rsidRPr="00233D09" w:rsidRDefault="00233D09" w:rsidP="00233D09">
            <w:pPr>
              <w:suppressAutoHyphens w:val="0"/>
              <w:rPr>
                <w:rFonts w:eastAsiaTheme="minorHAnsi"/>
                <w:sz w:val="24"/>
                <w:szCs w:val="24"/>
                <w:lang w:val="uk-UA" w:eastAsia="en-US"/>
              </w:rPr>
            </w:pPr>
            <w:r w:rsidRPr="00233D09">
              <w:rPr>
                <w:rFonts w:eastAsiaTheme="minorHAnsi"/>
                <w:sz w:val="24"/>
                <w:szCs w:val="24"/>
                <w:lang w:val="uk-UA" w:eastAsia="en-US"/>
              </w:rPr>
              <w:t>1</w:t>
            </w:r>
          </w:p>
        </w:tc>
        <w:tc>
          <w:tcPr>
            <w:tcW w:w="3402" w:type="dxa"/>
          </w:tcPr>
          <w:p w:rsidR="00233D09" w:rsidRPr="00233D09" w:rsidRDefault="00233D09" w:rsidP="00233D09">
            <w:pPr>
              <w:suppressAutoHyphens w:val="0"/>
              <w:rPr>
                <w:rFonts w:eastAsiaTheme="minorHAnsi"/>
                <w:b/>
                <w:sz w:val="24"/>
                <w:szCs w:val="24"/>
                <w:lang w:val="uk-UA" w:eastAsia="en-US"/>
              </w:rPr>
            </w:pPr>
            <w:r w:rsidRPr="00233D09">
              <w:rPr>
                <w:rFonts w:eastAsiaTheme="minorHAnsi"/>
                <w:b/>
                <w:sz w:val="24"/>
                <w:szCs w:val="24"/>
                <w:lang w:val="uk-UA" w:eastAsia="en-US"/>
              </w:rPr>
              <w:t>Назва предмета закупівлі</w:t>
            </w:r>
          </w:p>
        </w:tc>
        <w:tc>
          <w:tcPr>
            <w:tcW w:w="5954" w:type="dxa"/>
          </w:tcPr>
          <w:p w:rsidR="00233D09" w:rsidRPr="00233D09" w:rsidRDefault="00233D09" w:rsidP="00233D09">
            <w:pPr>
              <w:suppressAutoHyphens w:val="0"/>
              <w:jc w:val="both"/>
              <w:rPr>
                <w:rFonts w:eastAsiaTheme="minorHAnsi"/>
                <w:sz w:val="24"/>
                <w:szCs w:val="24"/>
                <w:lang w:val="uk-UA" w:eastAsia="en-US"/>
              </w:rPr>
            </w:pPr>
            <w:r w:rsidRPr="00233D09">
              <w:rPr>
                <w:rFonts w:eastAsiaTheme="minorHAnsi"/>
                <w:sz w:val="24"/>
                <w:szCs w:val="24"/>
                <w:lang w:val="uk-UA" w:eastAsia="en-US"/>
              </w:rPr>
              <w:t xml:space="preserve">Послуги з супроводження, технічної підтримки </w:t>
            </w:r>
            <w:r>
              <w:rPr>
                <w:rFonts w:eastAsiaTheme="minorHAnsi"/>
                <w:sz w:val="24"/>
                <w:szCs w:val="24"/>
                <w:lang w:val="uk-UA" w:eastAsia="en-US"/>
              </w:rPr>
              <w:br/>
            </w:r>
            <w:r w:rsidRPr="00233D09">
              <w:rPr>
                <w:rFonts w:eastAsiaTheme="minorHAnsi"/>
                <w:sz w:val="24"/>
                <w:szCs w:val="24"/>
                <w:lang w:val="uk-UA" w:eastAsia="en-US"/>
              </w:rPr>
              <w:t xml:space="preserve">та адаптації програмного забезпечення </w:t>
            </w:r>
            <w:r>
              <w:rPr>
                <w:rFonts w:eastAsiaTheme="minorHAnsi"/>
                <w:sz w:val="24"/>
                <w:szCs w:val="24"/>
                <w:lang w:val="uk-UA" w:eastAsia="en-US"/>
              </w:rPr>
              <w:br/>
            </w:r>
            <w:r w:rsidRPr="00233D09">
              <w:rPr>
                <w:rFonts w:eastAsiaTheme="minorHAnsi"/>
                <w:sz w:val="24"/>
                <w:szCs w:val="24"/>
                <w:lang w:val="uk-UA" w:eastAsia="en-US"/>
              </w:rPr>
              <w:t>ІКС «Адміністративне та судове оскарження»</w:t>
            </w:r>
            <w:r w:rsidRPr="00233D09">
              <w:rPr>
                <w:sz w:val="24"/>
                <w:szCs w:val="24"/>
                <w:lang w:val="uk-UA"/>
              </w:rPr>
              <w:t xml:space="preserve"> </w:t>
            </w:r>
            <w:r w:rsidRPr="00233D09">
              <w:rPr>
                <w:sz w:val="24"/>
                <w:szCs w:val="24"/>
                <w:lang w:val="uk-UA"/>
              </w:rPr>
              <w:t xml:space="preserve">(ідентифікатор закупівлі: </w:t>
            </w:r>
            <w:r w:rsidRPr="00233D09">
              <w:rPr>
                <w:sz w:val="24"/>
                <w:szCs w:val="24"/>
                <w:lang w:val="en-US"/>
              </w:rPr>
              <w:t>UA</w:t>
            </w:r>
            <w:r w:rsidRPr="00233D09">
              <w:rPr>
                <w:sz w:val="24"/>
                <w:szCs w:val="24"/>
                <w:lang w:val="uk-UA"/>
              </w:rPr>
              <w:t>-2026-06-</w:t>
            </w:r>
            <w:r w:rsidRPr="00233D09">
              <w:rPr>
                <w:sz w:val="24"/>
                <w:szCs w:val="24"/>
                <w:lang w:val="uk-UA"/>
              </w:rPr>
              <w:t>10</w:t>
            </w:r>
            <w:r w:rsidRPr="00233D09">
              <w:rPr>
                <w:sz w:val="24"/>
                <w:szCs w:val="24"/>
                <w:lang w:val="uk-UA"/>
              </w:rPr>
              <w:t>-01</w:t>
            </w:r>
            <w:r w:rsidRPr="00233D09">
              <w:rPr>
                <w:sz w:val="24"/>
                <w:szCs w:val="24"/>
                <w:lang w:val="uk-UA"/>
              </w:rPr>
              <w:t>3869</w:t>
            </w:r>
            <w:r w:rsidRPr="00233D09">
              <w:rPr>
                <w:sz w:val="24"/>
                <w:szCs w:val="24"/>
                <w:lang w:val="uk-UA"/>
              </w:rPr>
              <w:t>-</w:t>
            </w:r>
            <w:r w:rsidRPr="00233D09">
              <w:rPr>
                <w:sz w:val="24"/>
                <w:szCs w:val="24"/>
                <w:lang w:val="en-US"/>
              </w:rPr>
              <w:t>a</w:t>
            </w:r>
            <w:r w:rsidRPr="00233D09">
              <w:rPr>
                <w:sz w:val="24"/>
                <w:szCs w:val="24"/>
                <w:lang w:val="uk-UA"/>
              </w:rPr>
              <w:t>)</w:t>
            </w:r>
            <w:r w:rsidRPr="00233D09">
              <w:rPr>
                <w:rFonts w:eastAsiaTheme="minorHAnsi"/>
                <w:sz w:val="24"/>
                <w:szCs w:val="24"/>
                <w:lang w:val="uk-UA" w:eastAsia="en-US"/>
              </w:rPr>
              <w:t xml:space="preserve"> </w:t>
            </w:r>
          </w:p>
        </w:tc>
      </w:tr>
      <w:tr w:rsidR="00233D09" w:rsidRPr="00233D09" w:rsidTr="00233D09">
        <w:tc>
          <w:tcPr>
            <w:tcW w:w="817" w:type="dxa"/>
          </w:tcPr>
          <w:p w:rsidR="00233D09" w:rsidRPr="00233D09" w:rsidRDefault="00233D09" w:rsidP="00233D09">
            <w:pPr>
              <w:suppressAutoHyphens w:val="0"/>
              <w:rPr>
                <w:rFonts w:eastAsiaTheme="minorHAnsi"/>
                <w:sz w:val="24"/>
                <w:szCs w:val="24"/>
                <w:lang w:val="uk-UA" w:eastAsia="en-US"/>
              </w:rPr>
            </w:pPr>
            <w:r w:rsidRPr="00233D09">
              <w:rPr>
                <w:rFonts w:eastAsiaTheme="minorHAnsi"/>
                <w:sz w:val="24"/>
                <w:szCs w:val="24"/>
                <w:lang w:val="uk-UA" w:eastAsia="en-US"/>
              </w:rPr>
              <w:t>2</w:t>
            </w:r>
          </w:p>
        </w:tc>
        <w:tc>
          <w:tcPr>
            <w:tcW w:w="3402" w:type="dxa"/>
          </w:tcPr>
          <w:p w:rsidR="00233D09" w:rsidRPr="00233D09" w:rsidRDefault="00233D09" w:rsidP="00233D09">
            <w:pPr>
              <w:suppressAutoHyphens w:val="0"/>
              <w:rPr>
                <w:rFonts w:eastAsiaTheme="minorHAnsi"/>
                <w:b/>
                <w:sz w:val="24"/>
                <w:szCs w:val="24"/>
                <w:lang w:val="uk-UA" w:eastAsia="en-US"/>
              </w:rPr>
            </w:pPr>
            <w:r w:rsidRPr="00233D09">
              <w:rPr>
                <w:rFonts w:eastAsiaTheme="minorHAnsi"/>
                <w:b/>
                <w:sz w:val="24"/>
                <w:szCs w:val="24"/>
                <w:lang w:val="uk-UA" w:eastAsia="en-US"/>
              </w:rPr>
              <w:t>Обґрунтування технічних та якісних характеристик предмета закупівлі</w:t>
            </w:r>
          </w:p>
        </w:tc>
        <w:tc>
          <w:tcPr>
            <w:tcW w:w="5954" w:type="dxa"/>
          </w:tcPr>
          <w:p w:rsidR="00233D09" w:rsidRPr="00233D09" w:rsidRDefault="00233D09" w:rsidP="00233D09">
            <w:pPr>
              <w:suppressAutoHyphens w:val="0"/>
              <w:jc w:val="both"/>
              <w:rPr>
                <w:rFonts w:eastAsiaTheme="minorHAnsi"/>
                <w:sz w:val="24"/>
                <w:szCs w:val="24"/>
                <w:lang w:val="uk-UA" w:eastAsia="en-US"/>
              </w:rPr>
            </w:pPr>
            <w:r w:rsidRPr="00233D09">
              <w:rPr>
                <w:rFonts w:eastAsiaTheme="minorHAnsi"/>
                <w:sz w:val="24"/>
                <w:szCs w:val="24"/>
                <w:lang w:val="uk-UA" w:eastAsia="en-US"/>
              </w:rPr>
              <w:t xml:space="preserve">Надання послуг з супроводження, технічної підтримки та адаптації програмного забезпечення </w:t>
            </w:r>
            <w:r>
              <w:rPr>
                <w:rFonts w:eastAsiaTheme="minorHAnsi"/>
                <w:sz w:val="24"/>
                <w:szCs w:val="24"/>
                <w:lang w:val="uk-UA" w:eastAsia="en-US"/>
              </w:rPr>
              <w:br/>
            </w:r>
            <w:r w:rsidRPr="00233D09">
              <w:rPr>
                <w:rFonts w:eastAsiaTheme="minorHAnsi"/>
                <w:sz w:val="24"/>
                <w:szCs w:val="24"/>
                <w:lang w:val="uk-UA" w:eastAsia="en-US"/>
              </w:rPr>
              <w:t xml:space="preserve">ІКС «Адміністративне та судове оскарження» (далі − послуги) передбачає </w:t>
            </w:r>
            <w:r w:rsidR="00A77184">
              <w:rPr>
                <w:rFonts w:eastAsiaTheme="minorHAnsi"/>
                <w:sz w:val="24"/>
                <w:szCs w:val="24"/>
                <w:lang w:val="uk-UA" w:eastAsia="en-US"/>
              </w:rPr>
              <w:t>надання</w:t>
            </w:r>
            <w:r w:rsidRPr="00233D09">
              <w:rPr>
                <w:rFonts w:eastAsiaTheme="minorHAnsi"/>
                <w:sz w:val="24"/>
                <w:szCs w:val="24"/>
                <w:lang w:val="uk-UA" w:eastAsia="en-US"/>
              </w:rPr>
              <w:t xml:space="preserve"> комплексу </w:t>
            </w:r>
            <w:r w:rsidR="006D161E">
              <w:rPr>
                <w:rFonts w:eastAsiaTheme="minorHAnsi"/>
                <w:sz w:val="24"/>
                <w:szCs w:val="24"/>
                <w:lang w:val="uk-UA" w:eastAsia="en-US"/>
              </w:rPr>
              <w:t>послуг</w:t>
            </w:r>
            <w:r w:rsidRPr="00233D09">
              <w:rPr>
                <w:rFonts w:eastAsiaTheme="minorHAnsi"/>
                <w:sz w:val="24"/>
                <w:szCs w:val="24"/>
                <w:lang w:val="uk-UA" w:eastAsia="en-US"/>
              </w:rPr>
              <w:t xml:space="preserve"> </w:t>
            </w:r>
            <w:r>
              <w:rPr>
                <w:rFonts w:eastAsiaTheme="minorHAnsi"/>
                <w:sz w:val="24"/>
                <w:szCs w:val="24"/>
                <w:lang w:val="uk-UA" w:eastAsia="en-US"/>
              </w:rPr>
              <w:br/>
            </w:r>
            <w:r w:rsidRPr="00233D09">
              <w:rPr>
                <w:rFonts w:eastAsiaTheme="minorHAnsi"/>
                <w:sz w:val="24"/>
                <w:szCs w:val="24"/>
                <w:lang w:val="uk-UA" w:eastAsia="en-US"/>
              </w:rPr>
              <w:t>за напрямами:</w:t>
            </w:r>
          </w:p>
          <w:p w:rsidR="00233D09" w:rsidRPr="00233D09" w:rsidRDefault="00233D09" w:rsidP="00233D09">
            <w:pPr>
              <w:pStyle w:val="ac"/>
              <w:suppressAutoHyphens w:val="0"/>
              <w:ind w:left="0"/>
              <w:jc w:val="both"/>
              <w:rPr>
                <w:rFonts w:eastAsiaTheme="minorHAnsi"/>
                <w:sz w:val="24"/>
                <w:szCs w:val="24"/>
                <w:lang w:val="uk-UA" w:eastAsia="en-US"/>
              </w:rPr>
            </w:pPr>
            <w:r>
              <w:rPr>
                <w:rFonts w:eastAsiaTheme="minorHAnsi"/>
                <w:sz w:val="24"/>
                <w:szCs w:val="24"/>
                <w:lang w:val="uk-UA" w:eastAsia="en-US"/>
              </w:rPr>
              <w:t>- </w:t>
            </w:r>
            <w:r w:rsidRPr="00233D09">
              <w:rPr>
                <w:rFonts w:eastAsiaTheme="minorHAnsi"/>
                <w:sz w:val="24"/>
                <w:szCs w:val="24"/>
                <w:lang w:val="uk-UA" w:eastAsia="en-US"/>
              </w:rPr>
              <w:t>послуги з адаптації (модифікації) – послуги щодо настроювання програмного продукту в умовах експлуатації, що змінилися, або в новому середовищі виконання, а також щодо коригування програмного продукту для реалізації нових задач;</w:t>
            </w:r>
          </w:p>
          <w:p w:rsidR="00233D09" w:rsidRPr="00233D09" w:rsidRDefault="00233D09" w:rsidP="00233D09">
            <w:pPr>
              <w:tabs>
                <w:tab w:val="left" w:pos="900"/>
              </w:tabs>
              <w:jc w:val="both"/>
              <w:textAlignment w:val="baseline"/>
              <w:rPr>
                <w:color w:val="00000A"/>
                <w:kern w:val="1"/>
                <w:sz w:val="24"/>
                <w:szCs w:val="24"/>
                <w:lang w:eastAsia="zh-CN"/>
              </w:rPr>
            </w:pPr>
            <w:r>
              <w:rPr>
                <w:color w:val="00000A"/>
                <w:kern w:val="1"/>
                <w:sz w:val="24"/>
                <w:szCs w:val="24"/>
                <w:lang w:val="uk-UA" w:eastAsia="zh-CN"/>
              </w:rPr>
              <w:t>- </w:t>
            </w:r>
            <w:proofErr w:type="spellStart"/>
            <w:r w:rsidRPr="00233D09">
              <w:rPr>
                <w:color w:val="00000A"/>
                <w:kern w:val="1"/>
                <w:sz w:val="24"/>
                <w:szCs w:val="24"/>
                <w:lang w:eastAsia="zh-CN"/>
              </w:rPr>
              <w:t>послуги</w:t>
            </w:r>
            <w:proofErr w:type="spellEnd"/>
            <w:r w:rsidRPr="00233D09">
              <w:rPr>
                <w:color w:val="00000A"/>
                <w:kern w:val="1"/>
                <w:sz w:val="24"/>
                <w:szCs w:val="24"/>
                <w:lang w:eastAsia="zh-CN"/>
              </w:rPr>
              <w:t xml:space="preserve"> з </w:t>
            </w:r>
            <w:proofErr w:type="spellStart"/>
            <w:r w:rsidRPr="00233D09">
              <w:rPr>
                <w:color w:val="00000A"/>
                <w:kern w:val="1"/>
                <w:sz w:val="24"/>
                <w:szCs w:val="24"/>
                <w:lang w:eastAsia="zh-CN"/>
              </w:rPr>
              <w:t>супроводження</w:t>
            </w:r>
            <w:proofErr w:type="spellEnd"/>
            <w:r w:rsidRPr="00233D09">
              <w:rPr>
                <w:color w:val="00000A"/>
                <w:kern w:val="1"/>
                <w:sz w:val="24"/>
                <w:szCs w:val="24"/>
                <w:lang w:eastAsia="zh-CN"/>
              </w:rPr>
              <w:t xml:space="preserve"> – </w:t>
            </w:r>
            <w:proofErr w:type="spellStart"/>
            <w:r w:rsidRPr="00233D09">
              <w:rPr>
                <w:color w:val="00000A"/>
                <w:kern w:val="1"/>
                <w:sz w:val="24"/>
                <w:szCs w:val="24"/>
                <w:lang w:eastAsia="zh-CN"/>
              </w:rPr>
              <w:t>послуги</w:t>
            </w:r>
            <w:proofErr w:type="spellEnd"/>
            <w:r w:rsidRPr="00233D09">
              <w:rPr>
                <w:color w:val="00000A"/>
                <w:kern w:val="1"/>
                <w:sz w:val="24"/>
                <w:szCs w:val="24"/>
                <w:lang w:eastAsia="zh-CN"/>
              </w:rPr>
              <w:t xml:space="preserve"> з </w:t>
            </w:r>
            <w:proofErr w:type="spellStart"/>
            <w:r w:rsidRPr="00233D09">
              <w:rPr>
                <w:color w:val="00000A"/>
                <w:kern w:val="1"/>
                <w:sz w:val="24"/>
                <w:szCs w:val="24"/>
                <w:lang w:eastAsia="zh-CN"/>
              </w:rPr>
              <w:t>перевірки</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програмного</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забезпечення</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пошуку</w:t>
            </w:r>
            <w:proofErr w:type="spellEnd"/>
            <w:r w:rsidRPr="00233D09">
              <w:rPr>
                <w:color w:val="00000A"/>
                <w:kern w:val="1"/>
                <w:sz w:val="24"/>
                <w:szCs w:val="24"/>
                <w:lang w:eastAsia="zh-CN"/>
              </w:rPr>
              <w:t xml:space="preserve"> і </w:t>
            </w:r>
            <w:proofErr w:type="spellStart"/>
            <w:r w:rsidRPr="00233D09">
              <w:rPr>
                <w:color w:val="00000A"/>
                <w:kern w:val="1"/>
                <w:sz w:val="24"/>
                <w:szCs w:val="24"/>
                <w:lang w:eastAsia="zh-CN"/>
              </w:rPr>
              <w:t>виправлення</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помилок</w:t>
            </w:r>
            <w:proofErr w:type="spellEnd"/>
            <w:r w:rsidRPr="00233D09">
              <w:rPr>
                <w:color w:val="00000A"/>
                <w:kern w:val="1"/>
                <w:sz w:val="24"/>
                <w:szCs w:val="24"/>
                <w:lang w:eastAsia="zh-CN"/>
              </w:rPr>
              <w:t xml:space="preserve"> при </w:t>
            </w:r>
            <w:proofErr w:type="spellStart"/>
            <w:r w:rsidRPr="00233D09">
              <w:rPr>
                <w:color w:val="00000A"/>
                <w:kern w:val="1"/>
                <w:sz w:val="24"/>
                <w:szCs w:val="24"/>
                <w:lang w:eastAsia="zh-CN"/>
              </w:rPr>
              <w:t>експлуатації</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системи</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коригування</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зміни</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програмного</w:t>
            </w:r>
            <w:proofErr w:type="spellEnd"/>
            <w:r w:rsidRPr="00233D09">
              <w:rPr>
                <w:color w:val="00000A"/>
                <w:kern w:val="1"/>
                <w:sz w:val="24"/>
                <w:szCs w:val="24"/>
                <w:lang w:eastAsia="zh-CN"/>
              </w:rPr>
              <w:t xml:space="preserve"> продукту для </w:t>
            </w:r>
            <w:proofErr w:type="spellStart"/>
            <w:r w:rsidRPr="00233D09">
              <w:rPr>
                <w:color w:val="00000A"/>
                <w:kern w:val="1"/>
                <w:sz w:val="24"/>
                <w:szCs w:val="24"/>
                <w:lang w:eastAsia="zh-CN"/>
              </w:rPr>
              <w:t>усунення</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виявлених</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помилок</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поліпшення</w:t>
            </w:r>
            <w:proofErr w:type="spellEnd"/>
            <w:r w:rsidRPr="00233D09">
              <w:rPr>
                <w:color w:val="00000A"/>
                <w:kern w:val="1"/>
                <w:sz w:val="24"/>
                <w:szCs w:val="24"/>
                <w:lang w:eastAsia="zh-CN"/>
              </w:rPr>
              <w:t xml:space="preserve"> (для </w:t>
            </w:r>
            <w:proofErr w:type="spellStart"/>
            <w:r w:rsidRPr="00233D09">
              <w:rPr>
                <w:color w:val="00000A"/>
                <w:kern w:val="1"/>
                <w:sz w:val="24"/>
                <w:szCs w:val="24"/>
                <w:lang w:eastAsia="zh-CN"/>
              </w:rPr>
              <w:t>підвищення</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продуктивності</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або</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рівня</w:t>
            </w:r>
            <w:proofErr w:type="spellEnd"/>
            <w:r w:rsidRPr="00233D09">
              <w:rPr>
                <w:color w:val="00000A"/>
                <w:kern w:val="1"/>
                <w:sz w:val="24"/>
                <w:szCs w:val="24"/>
                <w:lang w:eastAsia="zh-CN"/>
              </w:rPr>
              <w:t xml:space="preserve"> </w:t>
            </w:r>
            <w:proofErr w:type="spellStart"/>
            <w:r w:rsidRPr="00233D09">
              <w:rPr>
                <w:color w:val="00000A"/>
                <w:kern w:val="1"/>
                <w:sz w:val="24"/>
                <w:szCs w:val="24"/>
                <w:lang w:eastAsia="zh-CN"/>
              </w:rPr>
              <w:t>супроводу</w:t>
            </w:r>
            <w:proofErr w:type="spellEnd"/>
            <w:r w:rsidRPr="00233D09">
              <w:rPr>
                <w:color w:val="00000A"/>
                <w:kern w:val="1"/>
                <w:sz w:val="24"/>
                <w:szCs w:val="24"/>
                <w:lang w:eastAsia="zh-CN"/>
              </w:rPr>
              <w:t>);</w:t>
            </w:r>
          </w:p>
          <w:p w:rsidR="00233D09" w:rsidRPr="00233D09" w:rsidRDefault="00233D09" w:rsidP="00233D09">
            <w:pPr>
              <w:tabs>
                <w:tab w:val="left" w:pos="900"/>
              </w:tabs>
              <w:jc w:val="both"/>
              <w:textAlignment w:val="baseline"/>
              <w:rPr>
                <w:rFonts w:eastAsiaTheme="minorHAnsi"/>
                <w:sz w:val="24"/>
                <w:szCs w:val="24"/>
                <w:lang w:val="uk-UA" w:eastAsia="en-US"/>
              </w:rPr>
            </w:pPr>
            <w:r>
              <w:rPr>
                <w:rFonts w:eastAsiaTheme="minorHAnsi"/>
                <w:sz w:val="24"/>
                <w:szCs w:val="24"/>
                <w:lang w:val="uk-UA" w:eastAsia="en-US"/>
              </w:rPr>
              <w:t>- </w:t>
            </w:r>
            <w:r w:rsidRPr="00233D09">
              <w:rPr>
                <w:rFonts w:eastAsiaTheme="minorHAnsi"/>
                <w:sz w:val="24"/>
                <w:szCs w:val="24"/>
                <w:lang w:val="uk-UA" w:eastAsia="en-US"/>
              </w:rPr>
              <w:t xml:space="preserve">технічна підтримка – це комплекс організаційних </w:t>
            </w:r>
            <w:r>
              <w:rPr>
                <w:rFonts w:eastAsiaTheme="minorHAnsi"/>
                <w:sz w:val="24"/>
                <w:szCs w:val="24"/>
                <w:lang w:val="uk-UA" w:eastAsia="en-US"/>
              </w:rPr>
              <w:br/>
            </w:r>
            <w:r w:rsidRPr="00233D09">
              <w:rPr>
                <w:rFonts w:eastAsiaTheme="minorHAnsi"/>
                <w:sz w:val="24"/>
                <w:szCs w:val="24"/>
                <w:lang w:val="uk-UA" w:eastAsia="en-US"/>
              </w:rPr>
              <w:t xml:space="preserve">і технічних заходів, спрямованих на адміністрування </w:t>
            </w:r>
            <w:r>
              <w:rPr>
                <w:rFonts w:eastAsiaTheme="minorHAnsi"/>
                <w:sz w:val="24"/>
                <w:szCs w:val="24"/>
                <w:lang w:val="uk-UA" w:eastAsia="en-US"/>
              </w:rPr>
              <w:br/>
            </w:r>
            <w:r w:rsidRPr="00233D09">
              <w:rPr>
                <w:rFonts w:eastAsiaTheme="minorHAnsi"/>
                <w:sz w:val="24"/>
                <w:szCs w:val="24"/>
                <w:lang w:val="uk-UA" w:eastAsia="en-US"/>
              </w:rPr>
              <w:t>та забезпечення функціонування засобу інформатизації.</w:t>
            </w:r>
          </w:p>
          <w:p w:rsidR="00233D09" w:rsidRPr="00233D09" w:rsidRDefault="00233D09" w:rsidP="00233D09">
            <w:pPr>
              <w:suppressAutoHyphens w:val="0"/>
              <w:jc w:val="both"/>
              <w:rPr>
                <w:rFonts w:eastAsiaTheme="minorHAnsi"/>
                <w:sz w:val="24"/>
                <w:szCs w:val="24"/>
                <w:lang w:val="uk-UA" w:eastAsia="en-US"/>
              </w:rPr>
            </w:pPr>
            <w:r w:rsidRPr="00233D09">
              <w:rPr>
                <w:rFonts w:eastAsiaTheme="minorHAnsi"/>
                <w:sz w:val="24"/>
                <w:szCs w:val="24"/>
                <w:lang w:val="uk-UA" w:eastAsia="en-US"/>
              </w:rPr>
              <w:t>Отримання послуг необхідне для:</w:t>
            </w:r>
          </w:p>
          <w:p w:rsidR="00233D09" w:rsidRPr="00233D09" w:rsidRDefault="00233D09" w:rsidP="00233D09">
            <w:pPr>
              <w:suppressAutoHyphens w:val="0"/>
              <w:jc w:val="both"/>
              <w:rPr>
                <w:rFonts w:eastAsiaTheme="minorHAnsi"/>
                <w:sz w:val="24"/>
                <w:szCs w:val="24"/>
                <w:lang w:val="uk-UA" w:eastAsia="en-US"/>
              </w:rPr>
            </w:pPr>
            <w:r w:rsidRPr="00233D09">
              <w:rPr>
                <w:rFonts w:eastAsiaTheme="minorHAnsi"/>
                <w:sz w:val="24"/>
                <w:szCs w:val="24"/>
                <w:lang w:val="uk-UA" w:eastAsia="en-US"/>
              </w:rPr>
              <w:t>- забезпечення відповідності програмного забезпечення ІКС «Адміністративне та судове оскарження» діючому законодавству;</w:t>
            </w:r>
          </w:p>
          <w:p w:rsidR="00233D09" w:rsidRPr="00233D09" w:rsidRDefault="00233D09" w:rsidP="00233D09">
            <w:pPr>
              <w:suppressAutoHyphens w:val="0"/>
              <w:jc w:val="both"/>
              <w:rPr>
                <w:rFonts w:eastAsiaTheme="minorHAnsi"/>
                <w:sz w:val="24"/>
                <w:szCs w:val="24"/>
                <w:lang w:val="uk-UA" w:eastAsia="en-US"/>
              </w:rPr>
            </w:pPr>
            <w:r w:rsidRPr="00233D09">
              <w:rPr>
                <w:rFonts w:eastAsiaTheme="minorHAnsi"/>
                <w:sz w:val="24"/>
                <w:szCs w:val="24"/>
                <w:lang w:val="uk-UA" w:eastAsia="en-US"/>
              </w:rPr>
              <w:t>-</w:t>
            </w:r>
            <w:r>
              <w:rPr>
                <w:rFonts w:eastAsiaTheme="minorHAnsi"/>
                <w:sz w:val="24"/>
                <w:szCs w:val="24"/>
                <w:lang w:val="uk-UA" w:eastAsia="en-US"/>
              </w:rPr>
              <w:t> </w:t>
            </w:r>
            <w:r w:rsidRPr="00233D09">
              <w:rPr>
                <w:rFonts w:eastAsiaTheme="minorHAnsi"/>
                <w:sz w:val="24"/>
                <w:szCs w:val="24"/>
                <w:lang w:val="uk-UA" w:eastAsia="en-US"/>
              </w:rPr>
              <w:t xml:space="preserve">забезпечення інтеграції ІКС «Адміністративне </w:t>
            </w:r>
            <w:r>
              <w:rPr>
                <w:rFonts w:eastAsiaTheme="minorHAnsi"/>
                <w:sz w:val="24"/>
                <w:szCs w:val="24"/>
                <w:lang w:val="uk-UA" w:eastAsia="en-US"/>
              </w:rPr>
              <w:br/>
            </w:r>
            <w:r w:rsidRPr="00233D09">
              <w:rPr>
                <w:rFonts w:eastAsiaTheme="minorHAnsi"/>
                <w:sz w:val="24"/>
                <w:szCs w:val="24"/>
                <w:lang w:val="uk-UA" w:eastAsia="en-US"/>
              </w:rPr>
              <w:t>та судове оскарження» з іншими інформаційними системами, які функціонують в Державній податковій службі України;</w:t>
            </w:r>
          </w:p>
          <w:p w:rsidR="00233D09" w:rsidRPr="00233D09" w:rsidRDefault="00233D09" w:rsidP="00233D09">
            <w:pPr>
              <w:suppressAutoHyphens w:val="0"/>
              <w:jc w:val="both"/>
              <w:rPr>
                <w:rFonts w:eastAsiaTheme="minorHAnsi"/>
                <w:sz w:val="24"/>
                <w:szCs w:val="24"/>
                <w:lang w:val="uk-UA" w:eastAsia="en-US"/>
              </w:rPr>
            </w:pPr>
            <w:r w:rsidRPr="00233D09">
              <w:rPr>
                <w:rFonts w:eastAsiaTheme="minorHAnsi"/>
                <w:sz w:val="24"/>
                <w:szCs w:val="24"/>
                <w:lang w:val="uk-UA" w:eastAsia="en-US"/>
              </w:rPr>
              <w:t>-</w:t>
            </w:r>
            <w:r>
              <w:rPr>
                <w:rFonts w:eastAsiaTheme="minorHAnsi"/>
                <w:sz w:val="24"/>
                <w:szCs w:val="24"/>
                <w:lang w:val="uk-UA" w:eastAsia="en-US"/>
              </w:rPr>
              <w:t> </w:t>
            </w:r>
            <w:r w:rsidRPr="00233D09">
              <w:rPr>
                <w:rFonts w:eastAsiaTheme="minorHAnsi"/>
                <w:sz w:val="24"/>
                <w:szCs w:val="24"/>
                <w:lang w:val="uk-UA" w:eastAsia="en-US"/>
              </w:rPr>
              <w:t xml:space="preserve">забезпечення стабільного функціонування </w:t>
            </w:r>
            <w:r>
              <w:rPr>
                <w:rFonts w:eastAsiaTheme="minorHAnsi"/>
                <w:sz w:val="24"/>
                <w:szCs w:val="24"/>
                <w:lang w:val="uk-UA" w:eastAsia="en-US"/>
              </w:rPr>
              <w:br/>
            </w:r>
            <w:r w:rsidRPr="00233D09">
              <w:rPr>
                <w:rFonts w:eastAsiaTheme="minorHAnsi"/>
                <w:sz w:val="24"/>
                <w:szCs w:val="24"/>
                <w:lang w:val="uk-UA" w:eastAsia="en-US"/>
              </w:rPr>
              <w:t>ІКС «Адміністративне та судове оскарження».</w:t>
            </w:r>
          </w:p>
        </w:tc>
      </w:tr>
      <w:tr w:rsidR="00233D09" w:rsidRPr="00233D09" w:rsidTr="00233D09">
        <w:trPr>
          <w:trHeight w:val="2120"/>
        </w:trPr>
        <w:tc>
          <w:tcPr>
            <w:tcW w:w="817" w:type="dxa"/>
          </w:tcPr>
          <w:p w:rsidR="00233D09" w:rsidRPr="00233D09" w:rsidRDefault="00233D09" w:rsidP="00233D09">
            <w:pPr>
              <w:suppressAutoHyphens w:val="0"/>
              <w:rPr>
                <w:rFonts w:eastAsiaTheme="minorHAnsi"/>
                <w:sz w:val="24"/>
                <w:szCs w:val="24"/>
                <w:lang w:val="uk-UA" w:eastAsia="en-US"/>
              </w:rPr>
            </w:pPr>
            <w:r w:rsidRPr="00233D09">
              <w:rPr>
                <w:rFonts w:eastAsiaTheme="minorHAnsi"/>
                <w:sz w:val="24"/>
                <w:szCs w:val="24"/>
                <w:lang w:val="uk-UA" w:eastAsia="en-US"/>
              </w:rPr>
              <w:t>3</w:t>
            </w:r>
          </w:p>
        </w:tc>
        <w:tc>
          <w:tcPr>
            <w:tcW w:w="3402" w:type="dxa"/>
          </w:tcPr>
          <w:p w:rsidR="00233D09" w:rsidRPr="00233D09" w:rsidRDefault="00233D09" w:rsidP="00233D09">
            <w:pPr>
              <w:suppressAutoHyphens w:val="0"/>
              <w:rPr>
                <w:rFonts w:eastAsiaTheme="minorHAnsi"/>
                <w:b/>
                <w:sz w:val="24"/>
                <w:szCs w:val="24"/>
                <w:lang w:val="uk-UA" w:eastAsia="en-US"/>
              </w:rPr>
            </w:pPr>
            <w:r w:rsidRPr="00233D09">
              <w:rPr>
                <w:rFonts w:eastAsiaTheme="minorHAnsi"/>
                <w:b/>
                <w:sz w:val="24"/>
                <w:szCs w:val="24"/>
                <w:lang w:val="uk-UA" w:eastAsia="en-US"/>
              </w:rPr>
              <w:t>Обґрунтування очікуваної вартості предмета закупівлі, розміру бюджетного призначення</w:t>
            </w:r>
          </w:p>
        </w:tc>
        <w:tc>
          <w:tcPr>
            <w:tcW w:w="5954" w:type="dxa"/>
          </w:tcPr>
          <w:p w:rsidR="00233D09" w:rsidRPr="00233D09" w:rsidRDefault="00233D09" w:rsidP="00233D09">
            <w:pPr>
              <w:suppressAutoHyphens w:val="0"/>
              <w:jc w:val="both"/>
              <w:rPr>
                <w:rFonts w:eastAsiaTheme="minorHAnsi"/>
                <w:sz w:val="24"/>
                <w:szCs w:val="24"/>
                <w:lang w:val="uk-UA" w:eastAsia="en-US"/>
              </w:rPr>
            </w:pPr>
            <w:r w:rsidRPr="00233D09">
              <w:rPr>
                <w:rFonts w:eastAsiaTheme="minorHAnsi"/>
                <w:sz w:val="24"/>
                <w:szCs w:val="24"/>
                <w:lang w:val="uk-UA" w:eastAsia="en-US"/>
              </w:rPr>
              <w:t xml:space="preserve">Очікувана вартість послуг з супроводження, технічної підтримки та адаптації програмного забезпечення </w:t>
            </w:r>
            <w:r>
              <w:rPr>
                <w:rFonts w:eastAsiaTheme="minorHAnsi"/>
                <w:sz w:val="24"/>
                <w:szCs w:val="24"/>
                <w:lang w:val="uk-UA" w:eastAsia="en-US"/>
              </w:rPr>
              <w:br/>
            </w:r>
            <w:r w:rsidRPr="00233D09">
              <w:rPr>
                <w:rFonts w:eastAsiaTheme="minorHAnsi"/>
                <w:sz w:val="24"/>
                <w:szCs w:val="24"/>
                <w:lang w:val="uk-UA" w:eastAsia="en-US"/>
              </w:rPr>
              <w:t xml:space="preserve">ІКС «Адміністративне та судове оскарження» </w:t>
            </w:r>
            <w:r>
              <w:rPr>
                <w:rFonts w:eastAsiaTheme="minorHAnsi"/>
                <w:sz w:val="24"/>
                <w:szCs w:val="24"/>
                <w:lang w:val="uk-UA" w:eastAsia="en-US"/>
              </w:rPr>
              <w:br/>
            </w:r>
            <w:r w:rsidRPr="00233D09">
              <w:rPr>
                <w:rFonts w:eastAsiaTheme="minorHAnsi"/>
                <w:sz w:val="24"/>
                <w:szCs w:val="24"/>
                <w:lang w:val="uk-UA" w:eastAsia="en-US"/>
              </w:rPr>
              <w:t>у 2026 році – 3 254 047,62 грн з ПДВ</w:t>
            </w:r>
            <w:r w:rsidR="006D161E">
              <w:rPr>
                <w:rFonts w:eastAsiaTheme="minorHAnsi"/>
                <w:sz w:val="24"/>
                <w:szCs w:val="24"/>
                <w:lang w:val="uk-UA" w:eastAsia="en-US"/>
              </w:rPr>
              <w:t>.</w:t>
            </w:r>
            <w:r w:rsidRPr="00233D09">
              <w:rPr>
                <w:rFonts w:eastAsiaTheme="minorHAnsi"/>
                <w:sz w:val="24"/>
                <w:szCs w:val="24"/>
                <w:lang w:val="uk-UA" w:eastAsia="en-US"/>
              </w:rPr>
              <w:t xml:space="preserve"> </w:t>
            </w:r>
          </w:p>
          <w:p w:rsidR="00233D09" w:rsidRPr="00233D09" w:rsidRDefault="00233D09" w:rsidP="00233D09">
            <w:pPr>
              <w:suppressAutoHyphens w:val="0"/>
              <w:ind w:firstLine="322"/>
              <w:jc w:val="both"/>
              <w:rPr>
                <w:rFonts w:eastAsiaTheme="minorHAnsi"/>
                <w:sz w:val="24"/>
                <w:szCs w:val="24"/>
                <w:lang w:val="uk-UA" w:eastAsia="en-US"/>
              </w:rPr>
            </w:pPr>
            <w:r w:rsidRPr="00233D09">
              <w:rPr>
                <w:rFonts w:eastAsiaTheme="minorHAnsi"/>
                <w:sz w:val="24"/>
                <w:szCs w:val="24"/>
                <w:lang w:val="uk-UA" w:eastAsia="en-US"/>
              </w:rPr>
              <w:t xml:space="preserve">Очікувану вартість послуг з супроводження,  технічної підтримки та адаптації програмного забезпечення ІКС «Адміністративне та судове оскарження» розраховано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У зв’язку </w:t>
            </w:r>
            <w:r>
              <w:rPr>
                <w:rFonts w:eastAsiaTheme="minorHAnsi"/>
                <w:sz w:val="24"/>
                <w:szCs w:val="24"/>
                <w:lang w:val="uk-UA" w:eastAsia="en-US"/>
              </w:rPr>
              <w:br/>
            </w:r>
            <w:r w:rsidRPr="00233D09">
              <w:rPr>
                <w:rFonts w:eastAsiaTheme="minorHAnsi"/>
                <w:sz w:val="24"/>
                <w:szCs w:val="24"/>
                <w:lang w:val="uk-UA" w:eastAsia="en-US"/>
              </w:rPr>
              <w:lastRenderedPageBreak/>
              <w:t xml:space="preserve">з обмеженою конкуренцією на ринку таких специфічних послуг та неможливістю отримання достатньої кількості інформації щодо актуальних ринкових цін, було застосовано метод розрахунку очікуваної вартості послуг на підставі закупівельних цін попередніх </w:t>
            </w:r>
            <w:proofErr w:type="spellStart"/>
            <w:r w:rsidRPr="00233D09">
              <w:rPr>
                <w:rFonts w:eastAsiaTheme="minorHAnsi"/>
                <w:sz w:val="24"/>
                <w:szCs w:val="24"/>
                <w:lang w:val="uk-UA" w:eastAsia="en-US"/>
              </w:rPr>
              <w:t>закупівель</w:t>
            </w:r>
            <w:proofErr w:type="spellEnd"/>
            <w:r w:rsidRPr="00233D09">
              <w:rPr>
                <w:rFonts w:eastAsiaTheme="minorHAnsi"/>
                <w:sz w:val="24"/>
                <w:szCs w:val="24"/>
                <w:lang w:val="uk-UA" w:eastAsia="en-US"/>
              </w:rPr>
              <w:t xml:space="preserve"> ДПС у 2025 році </w:t>
            </w:r>
            <w:r>
              <w:rPr>
                <w:rFonts w:eastAsiaTheme="minorHAnsi"/>
                <w:sz w:val="24"/>
                <w:szCs w:val="24"/>
                <w:lang w:val="uk-UA" w:eastAsia="en-US"/>
              </w:rPr>
              <w:br/>
            </w:r>
            <w:r w:rsidRPr="00233D09">
              <w:rPr>
                <w:rFonts w:eastAsiaTheme="minorHAnsi"/>
                <w:sz w:val="24"/>
                <w:szCs w:val="24"/>
                <w:lang w:val="uk-UA" w:eastAsia="en-US"/>
              </w:rPr>
              <w:t>та коефіцієнту індексації – 106,570% згідно з даними калькулятора індексації на офіційному сайті Державної служби статистики України.</w:t>
            </w:r>
          </w:p>
          <w:p w:rsidR="00233D09" w:rsidRPr="00233D09" w:rsidRDefault="00233D09" w:rsidP="00233D09">
            <w:pPr>
              <w:suppressAutoHyphens w:val="0"/>
              <w:ind w:firstLine="322"/>
              <w:jc w:val="both"/>
              <w:rPr>
                <w:color w:val="000000"/>
                <w:sz w:val="24"/>
                <w:szCs w:val="24"/>
                <w:lang w:val="uk-UA" w:eastAsia="uk-UA"/>
              </w:rPr>
            </w:pPr>
            <w:r w:rsidRPr="00233D09">
              <w:rPr>
                <w:rFonts w:eastAsiaTheme="minorHAnsi"/>
                <w:sz w:val="24"/>
                <w:szCs w:val="24"/>
                <w:lang w:val="uk-UA" w:eastAsia="en-US"/>
              </w:rPr>
              <w:t>У 2025</w:t>
            </w:r>
            <w:r w:rsidRPr="00233D09">
              <w:rPr>
                <w:color w:val="000000"/>
                <w:sz w:val="24"/>
                <w:szCs w:val="24"/>
                <w:lang w:val="uk-UA" w:eastAsia="uk-UA"/>
              </w:rPr>
              <w:t xml:space="preserve"> році вартість отримання послуг </w:t>
            </w:r>
            <w:r>
              <w:rPr>
                <w:color w:val="000000"/>
                <w:sz w:val="24"/>
                <w:szCs w:val="24"/>
                <w:lang w:val="uk-UA" w:eastAsia="uk-UA"/>
              </w:rPr>
              <w:br/>
            </w:r>
            <w:r w:rsidRPr="00233D09">
              <w:rPr>
                <w:color w:val="000000"/>
                <w:sz w:val="24"/>
                <w:szCs w:val="24"/>
                <w:lang w:val="uk-UA" w:eastAsia="uk-UA"/>
              </w:rPr>
              <w:t xml:space="preserve">з </w:t>
            </w:r>
            <w:r w:rsidRPr="00233D09">
              <w:rPr>
                <w:rFonts w:eastAsiaTheme="minorHAnsi"/>
                <w:sz w:val="24"/>
                <w:szCs w:val="24"/>
                <w:lang w:val="uk-UA" w:eastAsia="en-US"/>
              </w:rPr>
              <w:t xml:space="preserve">супроводження, технічної підтримки та адаптації програмного забезпечення ІКС «Адміністративне </w:t>
            </w:r>
            <w:r>
              <w:rPr>
                <w:rFonts w:eastAsiaTheme="minorHAnsi"/>
                <w:sz w:val="24"/>
                <w:szCs w:val="24"/>
                <w:lang w:val="uk-UA" w:eastAsia="en-US"/>
              </w:rPr>
              <w:br/>
            </w:r>
            <w:r w:rsidRPr="00233D09">
              <w:rPr>
                <w:rFonts w:eastAsiaTheme="minorHAnsi"/>
                <w:sz w:val="24"/>
                <w:szCs w:val="24"/>
                <w:lang w:val="uk-UA" w:eastAsia="en-US"/>
              </w:rPr>
              <w:t xml:space="preserve">та судове оскарження» </w:t>
            </w:r>
            <w:r w:rsidRPr="00233D09">
              <w:rPr>
                <w:color w:val="000000"/>
                <w:sz w:val="24"/>
                <w:szCs w:val="24"/>
                <w:lang w:val="uk-UA" w:eastAsia="uk-UA"/>
              </w:rPr>
              <w:t>складала:</w:t>
            </w:r>
          </w:p>
          <w:p w:rsidR="00233D09" w:rsidRPr="00233D09" w:rsidRDefault="00233D09" w:rsidP="00233D09">
            <w:pPr>
              <w:suppressAutoHyphens w:val="0"/>
              <w:ind w:firstLine="322"/>
              <w:jc w:val="both"/>
              <w:rPr>
                <w:color w:val="000000"/>
                <w:sz w:val="24"/>
                <w:szCs w:val="24"/>
                <w:lang w:eastAsia="uk-UA"/>
              </w:rPr>
            </w:pPr>
            <w:r w:rsidRPr="00233D09">
              <w:rPr>
                <w:color w:val="000000"/>
                <w:sz w:val="24"/>
                <w:szCs w:val="24"/>
                <w:lang w:val="uk-UA" w:eastAsia="uk-UA"/>
              </w:rPr>
              <w:t xml:space="preserve">1. Очікувана вартість послуг з супроводження </w:t>
            </w:r>
            <w:r>
              <w:rPr>
                <w:color w:val="000000"/>
                <w:sz w:val="24"/>
                <w:szCs w:val="24"/>
                <w:lang w:val="uk-UA" w:eastAsia="uk-UA"/>
              </w:rPr>
              <w:br/>
            </w:r>
            <w:r w:rsidRPr="00233D09">
              <w:rPr>
                <w:color w:val="000000"/>
                <w:sz w:val="24"/>
                <w:szCs w:val="24"/>
                <w:lang w:val="uk-UA" w:eastAsia="uk-UA"/>
              </w:rPr>
              <w:t xml:space="preserve">та технічної підтримки програмного забезпечення </w:t>
            </w:r>
            <w:r>
              <w:rPr>
                <w:color w:val="000000"/>
                <w:sz w:val="24"/>
                <w:szCs w:val="24"/>
                <w:lang w:val="uk-UA" w:eastAsia="uk-UA"/>
              </w:rPr>
              <w:br/>
            </w:r>
            <w:r w:rsidRPr="00233D09">
              <w:rPr>
                <w:color w:val="000000"/>
                <w:sz w:val="24"/>
                <w:szCs w:val="24"/>
                <w:lang w:val="uk-UA" w:eastAsia="uk-UA"/>
              </w:rPr>
              <w:t xml:space="preserve">ІКС </w:t>
            </w:r>
            <w:r w:rsidRPr="00233D09">
              <w:rPr>
                <w:rFonts w:eastAsiaTheme="minorHAnsi"/>
                <w:sz w:val="24"/>
                <w:szCs w:val="24"/>
                <w:lang w:val="uk-UA" w:eastAsia="en-US"/>
              </w:rPr>
              <w:t xml:space="preserve">«Адміністративне та судове оскарження» </w:t>
            </w:r>
            <w:r>
              <w:rPr>
                <w:rFonts w:eastAsiaTheme="minorHAnsi"/>
                <w:sz w:val="24"/>
                <w:szCs w:val="24"/>
                <w:lang w:val="uk-UA" w:eastAsia="en-US"/>
              </w:rPr>
              <w:br/>
            </w:r>
            <w:r w:rsidRPr="00233D09">
              <w:rPr>
                <w:color w:val="000000"/>
                <w:sz w:val="24"/>
                <w:szCs w:val="24"/>
                <w:lang w:val="uk-UA" w:eastAsia="uk-UA"/>
              </w:rPr>
              <w:t>у 2026 році –</w:t>
            </w:r>
            <w:r w:rsidRPr="00233D09">
              <w:rPr>
                <w:color w:val="000000"/>
                <w:sz w:val="24"/>
                <w:szCs w:val="24"/>
                <w:lang w:eastAsia="uk-UA"/>
              </w:rPr>
              <w:t xml:space="preserve"> 1</w:t>
            </w:r>
            <w:r w:rsidRPr="00233D09">
              <w:rPr>
                <w:color w:val="000000"/>
                <w:sz w:val="24"/>
                <w:szCs w:val="24"/>
                <w:lang w:val="uk-UA" w:eastAsia="uk-UA"/>
              </w:rPr>
              <w:t> 573 </w:t>
            </w:r>
            <w:r w:rsidRPr="00233D09">
              <w:rPr>
                <w:color w:val="000000"/>
                <w:sz w:val="24"/>
                <w:szCs w:val="24"/>
                <w:lang w:eastAsia="uk-UA"/>
              </w:rPr>
              <w:t>147</w:t>
            </w:r>
            <w:r w:rsidRPr="00233D09">
              <w:rPr>
                <w:color w:val="000000"/>
                <w:sz w:val="24"/>
                <w:szCs w:val="24"/>
                <w:lang w:val="uk-UA" w:eastAsia="uk-UA"/>
              </w:rPr>
              <w:t>,6</w:t>
            </w:r>
            <w:r w:rsidRPr="00233D09">
              <w:rPr>
                <w:color w:val="000000"/>
                <w:sz w:val="24"/>
                <w:szCs w:val="24"/>
                <w:lang w:eastAsia="uk-UA"/>
              </w:rPr>
              <w:t>2</w:t>
            </w:r>
            <w:r w:rsidRPr="00233D09">
              <w:rPr>
                <w:color w:val="000000"/>
                <w:sz w:val="24"/>
                <w:szCs w:val="24"/>
                <w:lang w:val="uk-UA" w:eastAsia="uk-UA"/>
              </w:rPr>
              <w:t xml:space="preserve"> грн</w:t>
            </w:r>
            <w:r w:rsidR="006D161E" w:rsidRPr="006D161E">
              <w:rPr>
                <w:color w:val="000000"/>
                <w:sz w:val="24"/>
                <w:szCs w:val="24"/>
                <w:lang w:eastAsia="uk-UA"/>
              </w:rPr>
              <w:t>;</w:t>
            </w:r>
            <w:r w:rsidRPr="00233D09">
              <w:rPr>
                <w:color w:val="000000"/>
                <w:sz w:val="24"/>
                <w:szCs w:val="24"/>
                <w:lang w:val="uk-UA" w:eastAsia="uk-UA"/>
              </w:rPr>
              <w:t xml:space="preserve"> </w:t>
            </w:r>
          </w:p>
          <w:p w:rsidR="00233D09" w:rsidRPr="00233D09" w:rsidRDefault="00233D09" w:rsidP="0067133D">
            <w:pPr>
              <w:suppressAutoHyphens w:val="0"/>
              <w:ind w:firstLine="567"/>
              <w:jc w:val="both"/>
              <w:rPr>
                <w:color w:val="000000"/>
                <w:sz w:val="24"/>
                <w:szCs w:val="24"/>
                <w:lang w:eastAsia="uk-UA"/>
              </w:rPr>
            </w:pPr>
            <w:r w:rsidRPr="00233D09">
              <w:rPr>
                <w:color w:val="000000"/>
                <w:sz w:val="24"/>
                <w:szCs w:val="24"/>
                <w:lang w:val="uk-UA" w:eastAsia="uk-UA"/>
              </w:rPr>
              <w:t>У 2025 році вартість одного місяця отримання послуг з супроводження та технічної підтримки дорівнювала 246 027,28 грн</w:t>
            </w:r>
            <w:r w:rsidR="006D161E" w:rsidRPr="006D161E">
              <w:rPr>
                <w:color w:val="000000"/>
                <w:sz w:val="24"/>
                <w:szCs w:val="24"/>
                <w:lang w:eastAsia="uk-UA"/>
              </w:rPr>
              <w:t>;</w:t>
            </w:r>
          </w:p>
          <w:p w:rsidR="00233D09" w:rsidRPr="00233D09" w:rsidRDefault="00233D09" w:rsidP="0067133D">
            <w:pPr>
              <w:suppressAutoHyphens w:val="0"/>
              <w:ind w:firstLine="567"/>
              <w:jc w:val="both"/>
              <w:rPr>
                <w:color w:val="000000"/>
                <w:sz w:val="24"/>
                <w:szCs w:val="24"/>
                <w:lang w:val="uk-UA" w:eastAsia="uk-UA"/>
              </w:rPr>
            </w:pPr>
            <w:r w:rsidRPr="00233D09">
              <w:rPr>
                <w:color w:val="000000"/>
                <w:sz w:val="24"/>
                <w:szCs w:val="24"/>
                <w:lang w:val="uk-UA" w:eastAsia="uk-UA"/>
              </w:rPr>
              <w:t xml:space="preserve">У 2026 році очікується 6 місяців отримання послуг з супроводження та технічної підтримки: </w:t>
            </w:r>
          </w:p>
          <w:p w:rsidR="00233D09" w:rsidRPr="00233D09" w:rsidRDefault="00233D09" w:rsidP="0067133D">
            <w:pPr>
              <w:suppressAutoHyphens w:val="0"/>
              <w:jc w:val="both"/>
              <w:rPr>
                <w:color w:val="000000"/>
                <w:sz w:val="24"/>
                <w:szCs w:val="24"/>
                <w:lang w:val="uk-UA" w:eastAsia="uk-UA"/>
              </w:rPr>
            </w:pPr>
            <w:r w:rsidRPr="00233D09">
              <w:rPr>
                <w:color w:val="000000"/>
                <w:sz w:val="24"/>
                <w:szCs w:val="24"/>
                <w:lang w:val="uk-UA" w:eastAsia="uk-UA"/>
              </w:rPr>
              <w:t xml:space="preserve">Супроводження та технічна підтримка 1 місяця: </w:t>
            </w:r>
          </w:p>
          <w:p w:rsidR="00233D09" w:rsidRPr="00233D09" w:rsidRDefault="00233D09" w:rsidP="0067133D">
            <w:pPr>
              <w:suppressAutoHyphens w:val="0"/>
              <w:ind w:firstLine="567"/>
              <w:jc w:val="both"/>
              <w:rPr>
                <w:color w:val="000000"/>
                <w:sz w:val="24"/>
                <w:szCs w:val="24"/>
                <w:lang w:val="uk-UA" w:eastAsia="uk-UA"/>
              </w:rPr>
            </w:pPr>
            <w:r w:rsidRPr="00233D09">
              <w:rPr>
                <w:color w:val="000000"/>
                <w:sz w:val="24"/>
                <w:szCs w:val="24"/>
                <w:lang w:val="uk-UA" w:eastAsia="uk-UA"/>
              </w:rPr>
              <w:t xml:space="preserve">246 027,28 грн х </w:t>
            </w:r>
            <w:r w:rsidRPr="00233D09">
              <w:rPr>
                <w:rFonts w:eastAsiaTheme="minorHAnsi"/>
                <w:sz w:val="24"/>
                <w:szCs w:val="24"/>
                <w:lang w:val="uk-UA" w:eastAsia="en-US"/>
              </w:rPr>
              <w:t xml:space="preserve">106,570%  </w:t>
            </w:r>
            <w:r w:rsidRPr="00233D09">
              <w:rPr>
                <w:color w:val="000000"/>
                <w:sz w:val="24"/>
                <w:szCs w:val="24"/>
                <w:lang w:val="uk-UA" w:eastAsia="uk-UA"/>
              </w:rPr>
              <w:t>= 262 191,27 грн</w:t>
            </w:r>
          </w:p>
          <w:p w:rsidR="00233D09" w:rsidRPr="00233D09" w:rsidRDefault="00233D09" w:rsidP="0067133D">
            <w:pPr>
              <w:suppressAutoHyphens w:val="0"/>
              <w:jc w:val="both"/>
              <w:rPr>
                <w:color w:val="000000"/>
                <w:sz w:val="24"/>
                <w:szCs w:val="24"/>
                <w:lang w:val="uk-UA" w:eastAsia="uk-UA"/>
              </w:rPr>
            </w:pPr>
            <w:r w:rsidRPr="00233D09">
              <w:rPr>
                <w:color w:val="000000"/>
                <w:sz w:val="24"/>
                <w:szCs w:val="24"/>
                <w:lang w:val="uk-UA" w:eastAsia="uk-UA"/>
              </w:rPr>
              <w:t xml:space="preserve">Супроводження та технічна підтримка </w:t>
            </w:r>
            <w:r w:rsidRPr="00233D09">
              <w:rPr>
                <w:color w:val="000000"/>
                <w:sz w:val="24"/>
                <w:szCs w:val="24"/>
                <w:lang w:eastAsia="uk-UA"/>
              </w:rPr>
              <w:t>6</w:t>
            </w:r>
            <w:r w:rsidRPr="00233D09">
              <w:rPr>
                <w:color w:val="000000"/>
                <w:sz w:val="24"/>
                <w:szCs w:val="24"/>
                <w:lang w:val="uk-UA" w:eastAsia="uk-UA"/>
              </w:rPr>
              <w:t xml:space="preserve"> місяців: </w:t>
            </w:r>
          </w:p>
          <w:p w:rsidR="00233D09" w:rsidRPr="00233D09" w:rsidRDefault="00233D09" w:rsidP="0067133D">
            <w:pPr>
              <w:suppressAutoHyphens w:val="0"/>
              <w:ind w:firstLine="567"/>
              <w:jc w:val="both"/>
              <w:rPr>
                <w:color w:val="000000"/>
                <w:sz w:val="24"/>
                <w:szCs w:val="24"/>
                <w:lang w:val="en-US" w:eastAsia="uk-UA"/>
              </w:rPr>
            </w:pPr>
            <w:r w:rsidRPr="00233D09">
              <w:rPr>
                <w:color w:val="000000"/>
                <w:sz w:val="24"/>
                <w:szCs w:val="24"/>
                <w:lang w:val="uk-UA" w:eastAsia="uk-UA"/>
              </w:rPr>
              <w:t xml:space="preserve">262 191,27 грн х 6 міс = </w:t>
            </w:r>
            <w:r w:rsidRPr="00233D09">
              <w:rPr>
                <w:color w:val="000000"/>
                <w:sz w:val="24"/>
                <w:szCs w:val="24"/>
                <w:lang w:eastAsia="uk-UA"/>
              </w:rPr>
              <w:t>1</w:t>
            </w:r>
            <w:r w:rsidRPr="00233D09">
              <w:rPr>
                <w:color w:val="000000"/>
                <w:sz w:val="24"/>
                <w:szCs w:val="24"/>
                <w:lang w:val="uk-UA" w:eastAsia="uk-UA"/>
              </w:rPr>
              <w:t> 573 </w:t>
            </w:r>
            <w:r w:rsidRPr="00233D09">
              <w:rPr>
                <w:color w:val="000000"/>
                <w:sz w:val="24"/>
                <w:szCs w:val="24"/>
                <w:lang w:eastAsia="uk-UA"/>
              </w:rPr>
              <w:t>147</w:t>
            </w:r>
            <w:r w:rsidRPr="00233D09">
              <w:rPr>
                <w:color w:val="000000"/>
                <w:sz w:val="24"/>
                <w:szCs w:val="24"/>
                <w:lang w:val="uk-UA" w:eastAsia="uk-UA"/>
              </w:rPr>
              <w:t>,6</w:t>
            </w:r>
            <w:r w:rsidRPr="00233D09">
              <w:rPr>
                <w:color w:val="000000"/>
                <w:sz w:val="24"/>
                <w:szCs w:val="24"/>
                <w:lang w:eastAsia="uk-UA"/>
              </w:rPr>
              <w:t>2</w:t>
            </w:r>
            <w:r w:rsidRPr="00233D09">
              <w:rPr>
                <w:color w:val="000000"/>
                <w:sz w:val="24"/>
                <w:szCs w:val="24"/>
                <w:lang w:val="uk-UA" w:eastAsia="uk-UA"/>
              </w:rPr>
              <w:t xml:space="preserve"> грн</w:t>
            </w:r>
            <w:r w:rsidR="006D161E">
              <w:rPr>
                <w:color w:val="000000"/>
                <w:sz w:val="24"/>
                <w:szCs w:val="24"/>
                <w:lang w:val="uk-UA" w:eastAsia="uk-UA"/>
              </w:rPr>
              <w:t>.</w:t>
            </w:r>
            <w:bookmarkStart w:id="0" w:name="_GoBack"/>
            <w:bookmarkEnd w:id="0"/>
          </w:p>
          <w:p w:rsidR="00233D09" w:rsidRPr="00233D09" w:rsidRDefault="00233D09" w:rsidP="00233D09">
            <w:pPr>
              <w:suppressAutoHyphens w:val="0"/>
              <w:ind w:firstLine="567"/>
              <w:rPr>
                <w:color w:val="000000"/>
                <w:sz w:val="24"/>
                <w:szCs w:val="24"/>
                <w:lang w:val="uk-UA" w:eastAsia="uk-UA"/>
              </w:rPr>
            </w:pPr>
          </w:p>
          <w:p w:rsidR="00233D09" w:rsidRPr="00233D09" w:rsidRDefault="00233D09" w:rsidP="0067133D">
            <w:pPr>
              <w:suppressAutoHyphens w:val="0"/>
              <w:ind w:firstLine="316"/>
              <w:jc w:val="both"/>
              <w:rPr>
                <w:rFonts w:eastAsiaTheme="minorHAnsi"/>
                <w:sz w:val="24"/>
                <w:szCs w:val="24"/>
                <w:lang w:val="uk-UA" w:eastAsia="en-US"/>
              </w:rPr>
            </w:pPr>
            <w:r w:rsidRPr="00233D09">
              <w:rPr>
                <w:color w:val="000000"/>
                <w:sz w:val="24"/>
                <w:szCs w:val="24"/>
                <w:lang w:val="uk-UA" w:eastAsia="uk-UA"/>
              </w:rPr>
              <w:t>2</w:t>
            </w:r>
            <w:r w:rsidRPr="00233D09">
              <w:rPr>
                <w:rFonts w:eastAsiaTheme="minorHAnsi"/>
                <w:sz w:val="24"/>
                <w:szCs w:val="24"/>
                <w:lang w:val="uk-UA" w:eastAsia="en-US"/>
              </w:rPr>
              <w:t xml:space="preserve">. Очікувана вартість послуг з адаптації програмного забезпечення ІКС «Адміністративне </w:t>
            </w:r>
            <w:r w:rsidR="0067133D">
              <w:rPr>
                <w:rFonts w:eastAsiaTheme="minorHAnsi"/>
                <w:sz w:val="24"/>
                <w:szCs w:val="24"/>
                <w:lang w:val="uk-UA" w:eastAsia="en-US"/>
              </w:rPr>
              <w:br/>
            </w:r>
            <w:r w:rsidRPr="00233D09">
              <w:rPr>
                <w:rFonts w:eastAsiaTheme="minorHAnsi"/>
                <w:sz w:val="24"/>
                <w:szCs w:val="24"/>
                <w:lang w:val="uk-UA" w:eastAsia="en-US"/>
              </w:rPr>
              <w:t xml:space="preserve">та судове оскарження» у 2026 році – 1 680 900,00 грн </w:t>
            </w:r>
            <w:r w:rsidR="0067133D">
              <w:rPr>
                <w:rFonts w:eastAsiaTheme="minorHAnsi"/>
                <w:sz w:val="24"/>
                <w:szCs w:val="24"/>
                <w:lang w:val="uk-UA" w:eastAsia="en-US"/>
              </w:rPr>
              <w:br/>
            </w:r>
            <w:r w:rsidRPr="00233D09">
              <w:rPr>
                <w:rFonts w:eastAsiaTheme="minorHAnsi"/>
                <w:sz w:val="24"/>
                <w:szCs w:val="24"/>
                <w:lang w:val="uk-UA" w:eastAsia="en-US"/>
              </w:rPr>
              <w:t>з ПДВ.</w:t>
            </w:r>
          </w:p>
          <w:p w:rsidR="00233D09" w:rsidRPr="00233D09" w:rsidRDefault="00233D09" w:rsidP="0067133D">
            <w:pPr>
              <w:suppressAutoHyphens w:val="0"/>
              <w:ind w:firstLine="316"/>
              <w:jc w:val="both"/>
              <w:rPr>
                <w:rFonts w:eastAsiaTheme="minorHAnsi"/>
                <w:sz w:val="24"/>
                <w:szCs w:val="24"/>
                <w:lang w:val="uk-UA" w:eastAsia="en-US"/>
              </w:rPr>
            </w:pPr>
            <w:r w:rsidRPr="00233D09">
              <w:rPr>
                <w:rFonts w:eastAsiaTheme="minorHAnsi"/>
                <w:sz w:val="24"/>
                <w:szCs w:val="24"/>
                <w:lang w:val="uk-UA" w:eastAsia="en-US"/>
              </w:rPr>
              <w:t xml:space="preserve">Розрахована, виходячи з середньої комерційної ціни людино-години (під якою розуміється середня вартість послуг підрядника, враховуючи його прямі на непрямі витрати, які мають бути включені до калькуляції вартості, враховуючи рівень рентабельності) </w:t>
            </w:r>
            <w:r w:rsidR="0067133D">
              <w:rPr>
                <w:rFonts w:eastAsiaTheme="minorHAnsi"/>
                <w:sz w:val="24"/>
                <w:szCs w:val="24"/>
                <w:lang w:val="uk-UA" w:eastAsia="en-US"/>
              </w:rPr>
              <w:br/>
            </w:r>
            <w:r w:rsidRPr="00233D09">
              <w:rPr>
                <w:rFonts w:eastAsiaTheme="minorHAnsi"/>
                <w:sz w:val="24"/>
                <w:szCs w:val="24"/>
                <w:lang w:val="uk-UA" w:eastAsia="en-US"/>
              </w:rPr>
              <w:t xml:space="preserve">та орієнтовної кількості людино-годин, потрібних </w:t>
            </w:r>
            <w:r w:rsidR="0067133D">
              <w:rPr>
                <w:rFonts w:eastAsiaTheme="minorHAnsi"/>
                <w:sz w:val="24"/>
                <w:szCs w:val="24"/>
                <w:lang w:val="uk-UA" w:eastAsia="en-US"/>
              </w:rPr>
              <w:br/>
            </w:r>
            <w:r w:rsidRPr="00233D09">
              <w:rPr>
                <w:rFonts w:eastAsiaTheme="minorHAnsi"/>
                <w:sz w:val="24"/>
                <w:szCs w:val="24"/>
                <w:lang w:val="uk-UA" w:eastAsia="en-US"/>
              </w:rPr>
              <w:t>для адаптації програмного забезпечення.</w:t>
            </w:r>
          </w:p>
        </w:tc>
      </w:tr>
    </w:tbl>
    <w:p w:rsidR="00442D3A" w:rsidRPr="00233D09" w:rsidRDefault="00442D3A" w:rsidP="001D5BA8">
      <w:pPr>
        <w:suppressAutoHyphens w:val="0"/>
        <w:contextualSpacing/>
        <w:jc w:val="center"/>
        <w:rPr>
          <w:sz w:val="28"/>
          <w:szCs w:val="28"/>
          <w:lang w:val="uk-UA"/>
        </w:rPr>
      </w:pPr>
    </w:p>
    <w:p w:rsidR="00233D09" w:rsidRPr="00233D09" w:rsidRDefault="00233D09" w:rsidP="001D5BA8">
      <w:pPr>
        <w:suppressAutoHyphens w:val="0"/>
        <w:contextualSpacing/>
        <w:jc w:val="center"/>
        <w:rPr>
          <w:sz w:val="28"/>
          <w:szCs w:val="28"/>
          <w:lang w:val="uk-UA"/>
        </w:rPr>
      </w:pPr>
    </w:p>
    <w:sectPr w:rsidR="00233D09" w:rsidRPr="00233D09" w:rsidSect="00884D34">
      <w:headerReference w:type="default" r:id="rId7"/>
      <w:pgSz w:w="11906" w:h="16838"/>
      <w:pgMar w:top="850" w:right="707"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D34" w:rsidRDefault="00884D34" w:rsidP="00884D34">
      <w:r>
        <w:separator/>
      </w:r>
    </w:p>
  </w:endnote>
  <w:endnote w:type="continuationSeparator" w:id="0">
    <w:p w:rsidR="00884D34" w:rsidRDefault="00884D34" w:rsidP="0088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D34" w:rsidRDefault="00884D34" w:rsidP="00884D34">
      <w:r>
        <w:separator/>
      </w:r>
    </w:p>
  </w:footnote>
  <w:footnote w:type="continuationSeparator" w:id="0">
    <w:p w:rsidR="00884D34" w:rsidRDefault="00884D34" w:rsidP="0088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39987"/>
      <w:docPartObj>
        <w:docPartGallery w:val="Page Numbers (Top of Page)"/>
        <w:docPartUnique/>
      </w:docPartObj>
    </w:sdtPr>
    <w:sdtEndPr/>
    <w:sdtContent>
      <w:p w:rsidR="00884D34" w:rsidRDefault="00884D34">
        <w:pPr>
          <w:pStyle w:val="a5"/>
          <w:jc w:val="center"/>
        </w:pPr>
        <w:r>
          <w:fldChar w:fldCharType="begin"/>
        </w:r>
        <w:r>
          <w:instrText>PAGE   \* MERGEFORMAT</w:instrText>
        </w:r>
        <w:r>
          <w:fldChar w:fldCharType="separate"/>
        </w:r>
        <w:r w:rsidR="009F0774" w:rsidRPr="009F0774">
          <w:rPr>
            <w:noProof/>
            <w:lang w:val="uk-UA"/>
          </w:rPr>
          <w:t>2</w:t>
        </w:r>
        <w:r>
          <w:fldChar w:fldCharType="end"/>
        </w:r>
      </w:p>
    </w:sdtContent>
  </w:sdt>
  <w:p w:rsidR="00884D34" w:rsidRDefault="00884D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83254"/>
    <w:multiLevelType w:val="hybridMultilevel"/>
    <w:tmpl w:val="76FC23DA"/>
    <w:lvl w:ilvl="0" w:tplc="AF606F4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052"/>
    <w:rsid w:val="000516B1"/>
    <w:rsid w:val="0005367C"/>
    <w:rsid w:val="00074096"/>
    <w:rsid w:val="000750F8"/>
    <w:rsid w:val="00083E63"/>
    <w:rsid w:val="000D1F81"/>
    <w:rsid w:val="00130E24"/>
    <w:rsid w:val="00164CBD"/>
    <w:rsid w:val="001C5788"/>
    <w:rsid w:val="001D5BA8"/>
    <w:rsid w:val="001F480A"/>
    <w:rsid w:val="00203DA7"/>
    <w:rsid w:val="00233D09"/>
    <w:rsid w:val="002D7ACF"/>
    <w:rsid w:val="0036439D"/>
    <w:rsid w:val="00413E1C"/>
    <w:rsid w:val="00442D3A"/>
    <w:rsid w:val="004D7235"/>
    <w:rsid w:val="005F33C5"/>
    <w:rsid w:val="00651762"/>
    <w:rsid w:val="00651F08"/>
    <w:rsid w:val="0067133D"/>
    <w:rsid w:val="006B3D3C"/>
    <w:rsid w:val="006D0FA5"/>
    <w:rsid w:val="006D161E"/>
    <w:rsid w:val="007550C6"/>
    <w:rsid w:val="00767B50"/>
    <w:rsid w:val="00767D02"/>
    <w:rsid w:val="00836050"/>
    <w:rsid w:val="00884D34"/>
    <w:rsid w:val="008F348A"/>
    <w:rsid w:val="0092037A"/>
    <w:rsid w:val="00955DCC"/>
    <w:rsid w:val="00993941"/>
    <w:rsid w:val="009A529D"/>
    <w:rsid w:val="009B39B6"/>
    <w:rsid w:val="009F0774"/>
    <w:rsid w:val="00A21AAD"/>
    <w:rsid w:val="00A53A3E"/>
    <w:rsid w:val="00A7039C"/>
    <w:rsid w:val="00A77184"/>
    <w:rsid w:val="00A83DBA"/>
    <w:rsid w:val="00A969A8"/>
    <w:rsid w:val="00AB7EE9"/>
    <w:rsid w:val="00B45CE1"/>
    <w:rsid w:val="00BA4F9C"/>
    <w:rsid w:val="00BB4E5B"/>
    <w:rsid w:val="00BD0250"/>
    <w:rsid w:val="00C0750B"/>
    <w:rsid w:val="00C63420"/>
    <w:rsid w:val="00CA44A4"/>
    <w:rsid w:val="00CB6A99"/>
    <w:rsid w:val="00D100A5"/>
    <w:rsid w:val="00D31052"/>
    <w:rsid w:val="00D41F88"/>
    <w:rsid w:val="00E0551D"/>
    <w:rsid w:val="00E507D2"/>
    <w:rsid w:val="00EA5668"/>
    <w:rsid w:val="00EA6204"/>
    <w:rsid w:val="00EB634B"/>
    <w:rsid w:val="00EF0BF0"/>
    <w:rsid w:val="00FE6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C60A"/>
  <w15:docId w15:val="{C8E58A35-B8A2-4DA5-89FD-8CCEA409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80A"/>
    <w:pPr>
      <w:suppressAutoHyphens/>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480A"/>
    <w:pPr>
      <w:suppressAutoHyphens/>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84D34"/>
    <w:rPr>
      <w:color w:val="0563C1"/>
      <w:u w:val="single"/>
    </w:rPr>
  </w:style>
  <w:style w:type="paragraph" w:customStyle="1" w:styleId="rvps12">
    <w:name w:val="rvps12"/>
    <w:basedOn w:val="a"/>
    <w:rsid w:val="00884D34"/>
    <w:pPr>
      <w:suppressAutoHyphens w:val="0"/>
      <w:spacing w:before="100" w:beforeAutospacing="1" w:after="100" w:afterAutospacing="1"/>
    </w:pPr>
    <w:rPr>
      <w:sz w:val="24"/>
      <w:szCs w:val="24"/>
      <w:lang w:val="uk-UA" w:eastAsia="uk-UA"/>
    </w:rPr>
  </w:style>
  <w:style w:type="paragraph" w:styleId="a5">
    <w:name w:val="header"/>
    <w:basedOn w:val="a"/>
    <w:link w:val="a6"/>
    <w:uiPriority w:val="99"/>
    <w:unhideWhenUsed/>
    <w:rsid w:val="00884D34"/>
    <w:pPr>
      <w:tabs>
        <w:tab w:val="center" w:pos="4819"/>
        <w:tab w:val="right" w:pos="9639"/>
      </w:tabs>
    </w:pPr>
  </w:style>
  <w:style w:type="character" w:customStyle="1" w:styleId="a6">
    <w:name w:val="Верхній колонтитул Знак"/>
    <w:basedOn w:val="a0"/>
    <w:link w:val="a5"/>
    <w:uiPriority w:val="99"/>
    <w:rsid w:val="00884D34"/>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884D34"/>
    <w:pPr>
      <w:tabs>
        <w:tab w:val="center" w:pos="4819"/>
        <w:tab w:val="right" w:pos="9639"/>
      </w:tabs>
    </w:pPr>
  </w:style>
  <w:style w:type="character" w:customStyle="1" w:styleId="a8">
    <w:name w:val="Нижній колонтитул Знак"/>
    <w:basedOn w:val="a0"/>
    <w:link w:val="a7"/>
    <w:uiPriority w:val="99"/>
    <w:rsid w:val="00884D34"/>
    <w:rPr>
      <w:rFonts w:ascii="Times New Roman" w:eastAsia="Times New Roman" w:hAnsi="Times New Roman" w:cs="Times New Roman"/>
      <w:sz w:val="20"/>
      <w:szCs w:val="20"/>
      <w:lang w:val="ru-RU" w:eastAsia="ru-RU"/>
    </w:rPr>
  </w:style>
  <w:style w:type="paragraph" w:customStyle="1" w:styleId="a9">
    <w:name w:val="Знак Знак"/>
    <w:basedOn w:val="a"/>
    <w:rsid w:val="009F0774"/>
    <w:pPr>
      <w:suppressAutoHyphens w:val="0"/>
    </w:pPr>
    <w:rPr>
      <w:rFonts w:ascii="Verdana" w:hAnsi="Verdana" w:cs="Verdana"/>
      <w:lang w:val="en-US" w:eastAsia="en-US"/>
    </w:rPr>
  </w:style>
  <w:style w:type="paragraph" w:styleId="aa">
    <w:name w:val="Balloon Text"/>
    <w:basedOn w:val="a"/>
    <w:link w:val="ab"/>
    <w:uiPriority w:val="99"/>
    <w:semiHidden/>
    <w:unhideWhenUsed/>
    <w:rsid w:val="005F33C5"/>
    <w:rPr>
      <w:rFonts w:ascii="Tahoma" w:hAnsi="Tahoma" w:cs="Tahoma"/>
      <w:sz w:val="16"/>
      <w:szCs w:val="16"/>
    </w:rPr>
  </w:style>
  <w:style w:type="character" w:customStyle="1" w:styleId="ab">
    <w:name w:val="Текст у виносці Знак"/>
    <w:basedOn w:val="a0"/>
    <w:link w:val="aa"/>
    <w:uiPriority w:val="99"/>
    <w:semiHidden/>
    <w:rsid w:val="005F33C5"/>
    <w:rPr>
      <w:rFonts w:ascii="Tahoma" w:eastAsia="Times New Roman" w:hAnsi="Tahoma" w:cs="Tahoma"/>
      <w:sz w:val="16"/>
      <w:szCs w:val="16"/>
      <w:lang w:val="ru-RU" w:eastAsia="ru-RU"/>
    </w:rPr>
  </w:style>
  <w:style w:type="table" w:customStyle="1" w:styleId="1">
    <w:name w:val="Сітка таблиці1"/>
    <w:basedOn w:val="a1"/>
    <w:next w:val="a3"/>
    <w:uiPriority w:val="59"/>
    <w:rsid w:val="00233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3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1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2617</Words>
  <Characters>1493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БРАНІЦЬКИЙ ВІКТОР ВІТАЛІЙОВИЧ</cp:lastModifiedBy>
  <cp:revision>38</cp:revision>
  <cp:lastPrinted>2026-06-12T07:29:00Z</cp:lastPrinted>
  <dcterms:created xsi:type="dcterms:W3CDTF">2024-11-13T16:27:00Z</dcterms:created>
  <dcterms:modified xsi:type="dcterms:W3CDTF">2026-06-12T08:23:00Z</dcterms:modified>
</cp:coreProperties>
</file>