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26A" w:rsidRPr="00493E9D" w:rsidRDefault="0091526A" w:rsidP="0015017D">
      <w:pPr>
        <w:pStyle w:val="a5"/>
        <w:spacing w:after="0" w:afterAutospacing="0"/>
        <w:rPr>
          <w:lang w:val="uk-UA"/>
        </w:rPr>
      </w:pPr>
    </w:p>
    <w:p w:rsidR="00CA5582" w:rsidRPr="00493E9D" w:rsidRDefault="00CA5582" w:rsidP="00CA5582">
      <w:pPr>
        <w:jc w:val="center"/>
        <w:rPr>
          <w:b/>
          <w:sz w:val="28"/>
          <w:szCs w:val="28"/>
          <w:lang w:val="uk-UA" w:eastAsia="en-US"/>
        </w:rPr>
      </w:pPr>
      <w:r w:rsidRPr="00493E9D">
        <w:rPr>
          <w:b/>
          <w:sz w:val="28"/>
          <w:szCs w:val="28"/>
          <w:lang w:val="uk-UA"/>
        </w:rPr>
        <w:t>Обґрунтування технічних та якісних характеристик</w:t>
      </w:r>
    </w:p>
    <w:p w:rsidR="00CA5582" w:rsidRPr="00493E9D" w:rsidRDefault="00CA5582" w:rsidP="00CA5582">
      <w:pPr>
        <w:jc w:val="center"/>
        <w:rPr>
          <w:b/>
          <w:sz w:val="28"/>
          <w:szCs w:val="28"/>
          <w:lang w:val="uk-UA"/>
        </w:rPr>
      </w:pPr>
      <w:r w:rsidRPr="00493E9D">
        <w:rPr>
          <w:b/>
          <w:sz w:val="28"/>
          <w:szCs w:val="28"/>
          <w:lang w:val="uk-UA"/>
        </w:rPr>
        <w:t>предмета закупівлі, розміру бюджетного призначення, очікуваної вартості предмета закупівлі</w:t>
      </w:r>
    </w:p>
    <w:p w:rsidR="00CA5582" w:rsidRPr="00493E9D" w:rsidRDefault="00CA5582" w:rsidP="00CA5582">
      <w:pPr>
        <w:jc w:val="center"/>
        <w:rPr>
          <w:sz w:val="24"/>
          <w:szCs w:val="28"/>
          <w:lang w:val="uk-UA"/>
        </w:rPr>
      </w:pPr>
      <w:r w:rsidRPr="00493E9D">
        <w:rPr>
          <w:sz w:val="24"/>
          <w:szCs w:val="28"/>
          <w:lang w:val="uk-UA"/>
        </w:rPr>
        <w:t>(відповідно до пункту 4</w:t>
      </w:r>
      <w:r w:rsidRPr="00493E9D">
        <w:rPr>
          <w:sz w:val="24"/>
          <w:szCs w:val="28"/>
          <w:vertAlign w:val="superscript"/>
          <w:lang w:val="uk-UA"/>
        </w:rPr>
        <w:t>1</w:t>
      </w:r>
      <w:r w:rsidRPr="00493E9D">
        <w:rPr>
          <w:sz w:val="24"/>
          <w:szCs w:val="28"/>
          <w:lang w:val="uk-UA"/>
        </w:rPr>
        <w:t xml:space="preserve"> постанови Кабінету Міністрів України від 11 жовтня </w:t>
      </w:r>
      <w:r w:rsidRPr="00493E9D">
        <w:rPr>
          <w:sz w:val="24"/>
          <w:szCs w:val="28"/>
          <w:lang w:val="uk-UA"/>
        </w:rPr>
        <w:br/>
        <w:t>2016 року № 710 «Про ефективне використання державних коштів»)</w:t>
      </w:r>
    </w:p>
    <w:p w:rsidR="00CA5582" w:rsidRPr="00493E9D" w:rsidRDefault="00CA5582" w:rsidP="00CA5582">
      <w:pPr>
        <w:jc w:val="center"/>
        <w:rPr>
          <w:sz w:val="24"/>
          <w:szCs w:val="28"/>
          <w:lang w:val="uk-U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489"/>
        <w:gridCol w:w="7230"/>
      </w:tblGrid>
      <w:tr w:rsidR="00203726" w:rsidRPr="00493E9D" w:rsidTr="00203726">
        <w:tc>
          <w:tcPr>
            <w:tcW w:w="346" w:type="dxa"/>
            <w:shd w:val="clear" w:color="auto" w:fill="auto"/>
            <w:vAlign w:val="center"/>
          </w:tcPr>
          <w:p w:rsidR="00203726" w:rsidRPr="00493E9D" w:rsidRDefault="00203726" w:rsidP="009314CC">
            <w:pPr>
              <w:jc w:val="center"/>
              <w:rPr>
                <w:b/>
                <w:spacing w:val="-10"/>
                <w:sz w:val="24"/>
                <w:szCs w:val="24"/>
                <w:lang w:val="uk-UA"/>
              </w:rPr>
            </w:pPr>
            <w:r w:rsidRPr="00493E9D">
              <w:rPr>
                <w:b/>
                <w:spacing w:val="-10"/>
                <w:sz w:val="24"/>
                <w:szCs w:val="24"/>
                <w:lang w:val="uk-UA"/>
              </w:rPr>
              <w:t>1</w:t>
            </w:r>
          </w:p>
        </w:tc>
        <w:tc>
          <w:tcPr>
            <w:tcW w:w="2489" w:type="dxa"/>
            <w:shd w:val="clear" w:color="auto" w:fill="auto"/>
            <w:vAlign w:val="center"/>
          </w:tcPr>
          <w:p w:rsidR="00203726" w:rsidRPr="00493E9D" w:rsidRDefault="00203726" w:rsidP="009314CC">
            <w:pPr>
              <w:rPr>
                <w:b/>
                <w:spacing w:val="-10"/>
                <w:sz w:val="24"/>
                <w:szCs w:val="24"/>
                <w:lang w:val="uk-UA"/>
              </w:rPr>
            </w:pPr>
            <w:r w:rsidRPr="00493E9D">
              <w:rPr>
                <w:b/>
                <w:spacing w:val="-10"/>
                <w:sz w:val="24"/>
                <w:szCs w:val="24"/>
                <w:lang w:val="uk-UA"/>
              </w:rPr>
              <w:t>Назва предмета закупівлі</w:t>
            </w:r>
          </w:p>
        </w:tc>
        <w:tc>
          <w:tcPr>
            <w:tcW w:w="7230" w:type="dxa"/>
            <w:shd w:val="clear" w:color="auto" w:fill="auto"/>
            <w:vAlign w:val="center"/>
          </w:tcPr>
          <w:p w:rsidR="00AC11DA" w:rsidRPr="00493E9D" w:rsidRDefault="00493E9D" w:rsidP="00493E9D">
            <w:pPr>
              <w:jc w:val="both"/>
              <w:rPr>
                <w:spacing w:val="-10"/>
                <w:sz w:val="24"/>
                <w:szCs w:val="24"/>
                <w:lang w:val="uk-UA"/>
              </w:rPr>
            </w:pPr>
            <w:r w:rsidRPr="00493E9D">
              <w:rPr>
                <w:color w:val="000000"/>
                <w:sz w:val="24"/>
                <w:szCs w:val="24"/>
                <w:lang w:val="uk-UA"/>
              </w:rPr>
              <w:t xml:space="preserve">Послуги, пов’язані з програмним забезпеченням – за кодом </w:t>
            </w:r>
            <w:r w:rsidRPr="00493E9D">
              <w:rPr>
                <w:color w:val="000000"/>
                <w:sz w:val="24"/>
                <w:szCs w:val="24"/>
                <w:lang w:val="uk-UA"/>
              </w:rPr>
              <w:br/>
              <w:t>ДК 021:2015 – 72260000-5 (</w:t>
            </w:r>
            <w:r w:rsidR="008B2DAD" w:rsidRPr="00493E9D">
              <w:rPr>
                <w:color w:val="000000"/>
                <w:sz w:val="24"/>
                <w:szCs w:val="24"/>
                <w:lang w:val="uk-UA"/>
              </w:rPr>
              <w:t>Послуги</w:t>
            </w:r>
            <w:r w:rsidR="00225A63" w:rsidRPr="00493E9D">
              <w:rPr>
                <w:color w:val="000000"/>
                <w:sz w:val="24"/>
                <w:szCs w:val="24"/>
                <w:lang w:val="uk-UA"/>
              </w:rPr>
              <w:t xml:space="preserve"> з масштабування віртуального </w:t>
            </w:r>
            <w:proofErr w:type="spellStart"/>
            <w:r w:rsidR="00225A63" w:rsidRPr="00493E9D">
              <w:rPr>
                <w:color w:val="000000"/>
                <w:sz w:val="24"/>
                <w:szCs w:val="24"/>
                <w:lang w:val="uk-UA"/>
              </w:rPr>
              <w:t>датадомену</w:t>
            </w:r>
            <w:proofErr w:type="spellEnd"/>
            <w:r>
              <w:rPr>
                <w:color w:val="000000"/>
                <w:sz w:val="24"/>
                <w:szCs w:val="24"/>
                <w:lang w:val="uk-UA"/>
              </w:rPr>
              <w:t>)</w:t>
            </w:r>
            <w:r w:rsidRPr="00493E9D">
              <w:rPr>
                <w:color w:val="000000"/>
                <w:sz w:val="24"/>
                <w:szCs w:val="24"/>
                <w:lang w:val="uk-UA"/>
              </w:rPr>
              <w:t xml:space="preserve"> </w:t>
            </w:r>
            <w:r w:rsidRPr="00493E9D">
              <w:rPr>
                <w:sz w:val="24"/>
                <w:szCs w:val="24"/>
                <w:lang w:val="uk-UA"/>
              </w:rPr>
              <w:t>(ідентифікатор закупівлі: UA-2026-0</w:t>
            </w:r>
            <w:r>
              <w:rPr>
                <w:sz w:val="24"/>
                <w:szCs w:val="24"/>
                <w:lang w:val="uk-UA"/>
              </w:rPr>
              <w:t>6</w:t>
            </w:r>
            <w:r w:rsidRPr="00493E9D">
              <w:rPr>
                <w:sz w:val="24"/>
                <w:szCs w:val="24"/>
                <w:lang w:val="uk-UA"/>
              </w:rPr>
              <w:t>-</w:t>
            </w:r>
            <w:r>
              <w:rPr>
                <w:sz w:val="24"/>
                <w:szCs w:val="24"/>
                <w:lang w:val="uk-UA"/>
              </w:rPr>
              <w:t>0</w:t>
            </w:r>
            <w:r w:rsidRPr="00493E9D">
              <w:rPr>
                <w:sz w:val="24"/>
                <w:szCs w:val="24"/>
                <w:lang w:val="uk-UA"/>
              </w:rPr>
              <w:t>9-0</w:t>
            </w:r>
            <w:r>
              <w:rPr>
                <w:sz w:val="24"/>
                <w:szCs w:val="24"/>
                <w:lang w:val="uk-UA"/>
              </w:rPr>
              <w:t>1</w:t>
            </w:r>
            <w:r w:rsidRPr="00493E9D">
              <w:rPr>
                <w:sz w:val="24"/>
                <w:szCs w:val="24"/>
                <w:lang w:val="uk-UA"/>
              </w:rPr>
              <w:t>19</w:t>
            </w:r>
            <w:r>
              <w:rPr>
                <w:sz w:val="24"/>
                <w:szCs w:val="24"/>
                <w:lang w:val="uk-UA"/>
              </w:rPr>
              <w:t>43</w:t>
            </w:r>
            <w:r w:rsidRPr="00493E9D">
              <w:rPr>
                <w:sz w:val="24"/>
                <w:szCs w:val="24"/>
                <w:lang w:val="uk-UA"/>
              </w:rPr>
              <w:t>-a)</w:t>
            </w:r>
          </w:p>
        </w:tc>
      </w:tr>
      <w:tr w:rsidR="00203726" w:rsidRPr="00493E9D" w:rsidTr="00203726">
        <w:tc>
          <w:tcPr>
            <w:tcW w:w="346" w:type="dxa"/>
            <w:shd w:val="clear" w:color="auto" w:fill="auto"/>
            <w:vAlign w:val="center"/>
          </w:tcPr>
          <w:p w:rsidR="00203726" w:rsidRPr="00493E9D" w:rsidRDefault="00203726" w:rsidP="009314CC">
            <w:pPr>
              <w:jc w:val="center"/>
              <w:rPr>
                <w:b/>
                <w:spacing w:val="-10"/>
                <w:sz w:val="24"/>
                <w:szCs w:val="24"/>
                <w:lang w:val="uk-UA"/>
              </w:rPr>
            </w:pPr>
            <w:r w:rsidRPr="00493E9D">
              <w:rPr>
                <w:b/>
                <w:spacing w:val="-10"/>
                <w:sz w:val="24"/>
                <w:szCs w:val="24"/>
                <w:lang w:val="uk-UA"/>
              </w:rPr>
              <w:t>2</w:t>
            </w:r>
          </w:p>
        </w:tc>
        <w:tc>
          <w:tcPr>
            <w:tcW w:w="2489" w:type="dxa"/>
            <w:shd w:val="clear" w:color="auto" w:fill="auto"/>
            <w:vAlign w:val="center"/>
          </w:tcPr>
          <w:p w:rsidR="00203726" w:rsidRPr="00493E9D" w:rsidRDefault="00203726" w:rsidP="009314CC">
            <w:pPr>
              <w:rPr>
                <w:b/>
                <w:spacing w:val="-10"/>
                <w:sz w:val="24"/>
                <w:szCs w:val="24"/>
                <w:lang w:val="uk-UA"/>
              </w:rPr>
            </w:pPr>
            <w:r w:rsidRPr="00493E9D">
              <w:rPr>
                <w:b/>
                <w:spacing w:val="-10"/>
                <w:sz w:val="24"/>
                <w:szCs w:val="24"/>
                <w:lang w:val="uk-UA"/>
              </w:rPr>
              <w:t>Обґрунтування технічних та якісних характеристик предмета закупівлі</w:t>
            </w:r>
          </w:p>
        </w:tc>
        <w:tc>
          <w:tcPr>
            <w:tcW w:w="7230" w:type="dxa"/>
            <w:shd w:val="clear" w:color="auto" w:fill="auto"/>
            <w:vAlign w:val="center"/>
          </w:tcPr>
          <w:p w:rsidR="00F25F70" w:rsidRPr="00493E9D" w:rsidRDefault="00F25F70" w:rsidP="00F25F70">
            <w:pPr>
              <w:jc w:val="both"/>
              <w:rPr>
                <w:color w:val="000000"/>
                <w:sz w:val="24"/>
                <w:szCs w:val="24"/>
                <w:lang w:val="uk-UA"/>
              </w:rPr>
            </w:pPr>
            <w:r w:rsidRPr="00493E9D">
              <w:rPr>
                <w:color w:val="000000"/>
                <w:sz w:val="24"/>
                <w:szCs w:val="24"/>
                <w:lang w:val="uk-UA"/>
              </w:rPr>
              <w:t>Керуючись пунктом 9 Порядку легалізації комп</w:t>
            </w:r>
            <w:r w:rsidR="0071055C">
              <w:rPr>
                <w:color w:val="000000"/>
                <w:sz w:val="24"/>
                <w:szCs w:val="24"/>
                <w:lang w:val="uk-UA"/>
              </w:rPr>
              <w:t>’</w:t>
            </w:r>
            <w:r w:rsidRPr="00493E9D">
              <w:rPr>
                <w:color w:val="000000"/>
                <w:sz w:val="24"/>
                <w:szCs w:val="24"/>
                <w:lang w:val="uk-UA"/>
              </w:rPr>
              <w:t xml:space="preserve">ютерних програм </w:t>
            </w:r>
            <w:r w:rsidR="00BE7DD8">
              <w:rPr>
                <w:color w:val="000000"/>
                <w:sz w:val="24"/>
                <w:szCs w:val="24"/>
                <w:lang w:val="uk-UA"/>
              </w:rPr>
              <w:br/>
            </w:r>
            <w:r w:rsidRPr="00493E9D">
              <w:rPr>
                <w:color w:val="000000"/>
                <w:sz w:val="24"/>
                <w:szCs w:val="24"/>
                <w:lang w:val="uk-UA"/>
              </w:rPr>
              <w:t xml:space="preserve">в органах виконавчої влади, затвердженого постановою Кабінету Міністрів України від </w:t>
            </w:r>
            <w:r w:rsidR="007D5EF6">
              <w:rPr>
                <w:color w:val="000000"/>
                <w:sz w:val="24"/>
                <w:szCs w:val="24"/>
                <w:lang w:val="uk-UA"/>
              </w:rPr>
              <w:t>0</w:t>
            </w:r>
            <w:r w:rsidRPr="00493E9D">
              <w:rPr>
                <w:color w:val="000000"/>
                <w:sz w:val="24"/>
                <w:szCs w:val="24"/>
                <w:lang w:val="uk-UA"/>
              </w:rPr>
              <w:t xml:space="preserve">4 березня 2004 року № 253 (у редакції постанови Кабінету Міністрів України від </w:t>
            </w:r>
            <w:r w:rsidR="007D5EF6">
              <w:rPr>
                <w:color w:val="000000"/>
                <w:sz w:val="24"/>
                <w:szCs w:val="24"/>
                <w:lang w:val="uk-UA"/>
              </w:rPr>
              <w:t>0</w:t>
            </w:r>
            <w:r w:rsidRPr="00493E9D">
              <w:rPr>
                <w:color w:val="000000"/>
                <w:sz w:val="24"/>
                <w:szCs w:val="24"/>
                <w:lang w:val="uk-UA"/>
              </w:rPr>
              <w:t xml:space="preserve">8 квітня 2013 року </w:t>
            </w:r>
            <w:r w:rsidR="00BE7DD8">
              <w:rPr>
                <w:color w:val="000000"/>
                <w:sz w:val="24"/>
                <w:szCs w:val="24"/>
                <w:lang w:val="uk-UA"/>
              </w:rPr>
              <w:br/>
            </w:r>
            <w:r w:rsidRPr="00493E9D">
              <w:rPr>
                <w:color w:val="000000"/>
                <w:sz w:val="24"/>
                <w:szCs w:val="24"/>
                <w:lang w:val="uk-UA"/>
              </w:rPr>
              <w:t>№ 257)</w:t>
            </w:r>
            <w:r w:rsidR="00B532DC">
              <w:rPr>
                <w:color w:val="000000"/>
                <w:sz w:val="24"/>
                <w:szCs w:val="24"/>
                <w:lang w:val="uk-UA"/>
              </w:rPr>
              <w:t>,</w:t>
            </w:r>
            <w:r w:rsidRPr="00493E9D">
              <w:rPr>
                <w:color w:val="000000"/>
                <w:sz w:val="24"/>
                <w:szCs w:val="24"/>
                <w:lang w:val="uk-UA"/>
              </w:rPr>
              <w:t xml:space="preserve"> Державною податков</w:t>
            </w:r>
            <w:bookmarkStart w:id="0" w:name="_GoBack"/>
            <w:bookmarkEnd w:id="0"/>
            <w:r w:rsidRPr="00493E9D">
              <w:rPr>
                <w:color w:val="000000"/>
                <w:sz w:val="24"/>
                <w:szCs w:val="24"/>
                <w:lang w:val="uk-UA"/>
              </w:rPr>
              <w:t xml:space="preserve">ою службою України </w:t>
            </w:r>
            <w:r w:rsidR="00ED75C0" w:rsidRPr="00493E9D">
              <w:rPr>
                <w:color w:val="000000"/>
                <w:sz w:val="24"/>
                <w:szCs w:val="24"/>
                <w:lang w:val="uk-UA"/>
              </w:rPr>
              <w:t xml:space="preserve">планується придбати </w:t>
            </w:r>
            <w:r w:rsidR="00384599" w:rsidRPr="00493E9D">
              <w:rPr>
                <w:color w:val="000000"/>
                <w:sz w:val="24"/>
                <w:szCs w:val="24"/>
                <w:lang w:val="uk-UA"/>
              </w:rPr>
              <w:t xml:space="preserve">послуги впровадження, налаштування та підтримки програмного забезпечення віртуального </w:t>
            </w:r>
            <w:proofErr w:type="spellStart"/>
            <w:r w:rsidR="00384599" w:rsidRPr="00493E9D">
              <w:rPr>
                <w:color w:val="000000"/>
                <w:sz w:val="24"/>
                <w:szCs w:val="24"/>
                <w:lang w:val="uk-UA"/>
              </w:rPr>
              <w:t>датадомену</w:t>
            </w:r>
            <w:proofErr w:type="spellEnd"/>
            <w:r w:rsidRPr="00493E9D">
              <w:rPr>
                <w:color w:val="000000"/>
                <w:sz w:val="24"/>
                <w:szCs w:val="24"/>
                <w:lang w:val="uk-UA"/>
              </w:rPr>
              <w:t>.</w:t>
            </w:r>
          </w:p>
          <w:p w:rsidR="00AC11DA" w:rsidRPr="00493E9D" w:rsidRDefault="00F25F70" w:rsidP="00BE7DD8">
            <w:pPr>
              <w:jc w:val="both"/>
              <w:rPr>
                <w:color w:val="000000"/>
                <w:sz w:val="24"/>
                <w:szCs w:val="24"/>
                <w:lang w:val="uk-UA"/>
              </w:rPr>
            </w:pPr>
            <w:r w:rsidRPr="00493E9D">
              <w:rPr>
                <w:color w:val="000000"/>
                <w:sz w:val="24"/>
                <w:szCs w:val="24"/>
                <w:lang w:val="uk-UA"/>
              </w:rPr>
              <w:t xml:space="preserve">Кількісні розрахунки потреби у </w:t>
            </w:r>
            <w:r w:rsidR="00ED75C0" w:rsidRPr="00493E9D">
              <w:rPr>
                <w:color w:val="000000"/>
                <w:sz w:val="24"/>
                <w:szCs w:val="24"/>
                <w:lang w:val="uk-UA"/>
              </w:rPr>
              <w:t xml:space="preserve">придбанні </w:t>
            </w:r>
            <w:r w:rsidR="00384599" w:rsidRPr="00493E9D">
              <w:rPr>
                <w:color w:val="000000"/>
                <w:sz w:val="24"/>
                <w:szCs w:val="24"/>
                <w:lang w:val="uk-UA"/>
              </w:rPr>
              <w:t>послуг</w:t>
            </w:r>
            <w:r w:rsidR="00ED75C0" w:rsidRPr="00493E9D">
              <w:rPr>
                <w:color w:val="000000"/>
                <w:sz w:val="24"/>
                <w:szCs w:val="24"/>
                <w:lang w:val="uk-UA"/>
              </w:rPr>
              <w:t xml:space="preserve"> </w:t>
            </w:r>
            <w:r w:rsidR="00384599" w:rsidRPr="00493E9D">
              <w:rPr>
                <w:color w:val="000000"/>
                <w:sz w:val="24"/>
                <w:szCs w:val="24"/>
                <w:lang w:val="uk-UA"/>
              </w:rPr>
              <w:t xml:space="preserve">впровадження, налаштування та підтримки програмного забезпечення віртуального </w:t>
            </w:r>
            <w:proofErr w:type="spellStart"/>
            <w:r w:rsidR="00384599" w:rsidRPr="00493E9D">
              <w:rPr>
                <w:color w:val="000000"/>
                <w:sz w:val="24"/>
                <w:szCs w:val="24"/>
                <w:lang w:val="uk-UA"/>
              </w:rPr>
              <w:t>датадомену</w:t>
            </w:r>
            <w:proofErr w:type="spellEnd"/>
            <w:r w:rsidR="00ED75C0" w:rsidRPr="00493E9D">
              <w:rPr>
                <w:color w:val="000000"/>
                <w:sz w:val="24"/>
                <w:szCs w:val="24"/>
                <w:lang w:val="uk-UA"/>
              </w:rPr>
              <w:t xml:space="preserve"> </w:t>
            </w:r>
            <w:r w:rsidRPr="00493E9D">
              <w:rPr>
                <w:color w:val="000000"/>
                <w:sz w:val="24"/>
                <w:szCs w:val="24"/>
                <w:lang w:val="uk-UA"/>
              </w:rPr>
              <w:t xml:space="preserve">складено </w:t>
            </w:r>
            <w:r w:rsidR="00A04E74" w:rsidRPr="00493E9D">
              <w:rPr>
                <w:color w:val="000000"/>
                <w:sz w:val="24"/>
                <w:szCs w:val="24"/>
                <w:lang w:val="uk-UA"/>
              </w:rPr>
              <w:t>на підставі</w:t>
            </w:r>
            <w:r w:rsidR="00B0388A" w:rsidRPr="00493E9D">
              <w:rPr>
                <w:color w:val="000000"/>
                <w:sz w:val="24"/>
                <w:szCs w:val="24"/>
                <w:lang w:val="uk-UA"/>
              </w:rPr>
              <w:t xml:space="preserve"> необхідності забезпечення в умовах в</w:t>
            </w:r>
            <w:r w:rsidR="00824A5D" w:rsidRPr="00493E9D">
              <w:rPr>
                <w:color w:val="000000"/>
                <w:sz w:val="24"/>
                <w:szCs w:val="24"/>
                <w:lang w:val="uk-UA"/>
              </w:rPr>
              <w:t>оєнн</w:t>
            </w:r>
            <w:r w:rsidR="00B0388A" w:rsidRPr="00493E9D">
              <w:rPr>
                <w:color w:val="000000"/>
                <w:sz w:val="24"/>
                <w:szCs w:val="24"/>
                <w:lang w:val="uk-UA"/>
              </w:rPr>
              <w:t xml:space="preserve">ого стану високого рівня надійності функціонування інформаційно-комунікаційних систем ДПС, </w:t>
            </w:r>
            <w:r w:rsidR="00BE7DD8">
              <w:rPr>
                <w:color w:val="000000"/>
                <w:sz w:val="24"/>
                <w:szCs w:val="24"/>
                <w:lang w:val="uk-UA"/>
              </w:rPr>
              <w:br/>
            </w:r>
            <w:r w:rsidR="00B0388A" w:rsidRPr="00493E9D">
              <w:rPr>
                <w:color w:val="000000"/>
                <w:sz w:val="24"/>
                <w:szCs w:val="24"/>
                <w:lang w:val="uk-UA"/>
              </w:rPr>
              <w:t>які використовуються на критично важливих напрямках роботи податкової служби</w:t>
            </w:r>
            <w:r w:rsidR="007D5EF6">
              <w:rPr>
                <w:color w:val="000000"/>
                <w:sz w:val="24"/>
                <w:szCs w:val="24"/>
                <w:lang w:val="uk-UA"/>
              </w:rPr>
              <w:t xml:space="preserve"> України</w:t>
            </w:r>
            <w:r w:rsidR="00B0388A" w:rsidRPr="00493E9D">
              <w:rPr>
                <w:color w:val="000000"/>
                <w:sz w:val="24"/>
                <w:szCs w:val="24"/>
                <w:lang w:val="uk-UA"/>
              </w:rPr>
              <w:t>, для своєчасного надання усіх необхідних електронних сервісів платникам та виконання службових завдань ДПС відповідно до вимог Податкового кодексу України та Положення про Державну податкову службу України, затвердженого постановою Кабінету Міністрів України</w:t>
            </w:r>
            <w:r w:rsidR="001F5ED7" w:rsidRPr="00493E9D">
              <w:rPr>
                <w:color w:val="000000"/>
                <w:sz w:val="24"/>
                <w:szCs w:val="24"/>
                <w:lang w:val="uk-UA"/>
              </w:rPr>
              <w:t xml:space="preserve"> </w:t>
            </w:r>
            <w:r w:rsidR="00BE7DD8">
              <w:rPr>
                <w:color w:val="000000"/>
                <w:sz w:val="24"/>
                <w:szCs w:val="24"/>
                <w:lang w:val="uk-UA"/>
              </w:rPr>
              <w:br/>
            </w:r>
            <w:r w:rsidR="00B0388A" w:rsidRPr="00493E9D">
              <w:rPr>
                <w:color w:val="000000"/>
                <w:sz w:val="24"/>
                <w:szCs w:val="24"/>
                <w:lang w:val="uk-UA"/>
              </w:rPr>
              <w:t>від 06</w:t>
            </w:r>
            <w:r w:rsidR="00824A5D" w:rsidRPr="00493E9D">
              <w:rPr>
                <w:color w:val="000000"/>
                <w:sz w:val="24"/>
                <w:szCs w:val="24"/>
                <w:lang w:val="uk-UA"/>
              </w:rPr>
              <w:t xml:space="preserve"> березня </w:t>
            </w:r>
            <w:r w:rsidR="00B0388A" w:rsidRPr="00493E9D">
              <w:rPr>
                <w:color w:val="000000"/>
                <w:sz w:val="24"/>
                <w:szCs w:val="24"/>
                <w:lang w:val="uk-UA"/>
              </w:rPr>
              <w:t>2019</w:t>
            </w:r>
            <w:r w:rsidR="001F5ED7" w:rsidRPr="00493E9D">
              <w:rPr>
                <w:color w:val="000000"/>
                <w:sz w:val="24"/>
                <w:szCs w:val="24"/>
                <w:lang w:val="uk-UA"/>
              </w:rPr>
              <w:t xml:space="preserve"> року</w:t>
            </w:r>
            <w:r w:rsidR="00B0388A" w:rsidRPr="00493E9D">
              <w:rPr>
                <w:color w:val="000000"/>
                <w:sz w:val="24"/>
                <w:szCs w:val="24"/>
                <w:lang w:val="uk-UA"/>
              </w:rPr>
              <w:t xml:space="preserve"> № 227</w:t>
            </w:r>
            <w:r w:rsidR="00EE5E91" w:rsidRPr="00493E9D">
              <w:rPr>
                <w:color w:val="000000"/>
                <w:sz w:val="24"/>
                <w:szCs w:val="24"/>
                <w:lang w:val="uk-UA"/>
              </w:rPr>
              <w:t xml:space="preserve"> (зі змінами)</w:t>
            </w:r>
            <w:r w:rsidRPr="00493E9D">
              <w:rPr>
                <w:color w:val="000000"/>
                <w:sz w:val="24"/>
                <w:szCs w:val="24"/>
                <w:lang w:val="uk-UA"/>
              </w:rPr>
              <w:t xml:space="preserve">. </w:t>
            </w:r>
          </w:p>
        </w:tc>
      </w:tr>
      <w:tr w:rsidR="00203726" w:rsidRPr="00493E9D" w:rsidTr="00203726">
        <w:tc>
          <w:tcPr>
            <w:tcW w:w="346" w:type="dxa"/>
            <w:shd w:val="clear" w:color="auto" w:fill="auto"/>
            <w:vAlign w:val="center"/>
          </w:tcPr>
          <w:p w:rsidR="00203726" w:rsidRPr="00493E9D" w:rsidRDefault="00203726" w:rsidP="009314CC">
            <w:pPr>
              <w:jc w:val="center"/>
              <w:rPr>
                <w:b/>
                <w:spacing w:val="-10"/>
                <w:sz w:val="24"/>
                <w:szCs w:val="24"/>
                <w:lang w:val="uk-UA"/>
              </w:rPr>
            </w:pPr>
            <w:r w:rsidRPr="00493E9D">
              <w:rPr>
                <w:b/>
                <w:spacing w:val="-10"/>
                <w:sz w:val="24"/>
                <w:szCs w:val="24"/>
                <w:lang w:val="uk-UA"/>
              </w:rPr>
              <w:t>3</w:t>
            </w:r>
          </w:p>
        </w:tc>
        <w:tc>
          <w:tcPr>
            <w:tcW w:w="2489" w:type="dxa"/>
            <w:shd w:val="clear" w:color="auto" w:fill="auto"/>
            <w:vAlign w:val="center"/>
          </w:tcPr>
          <w:p w:rsidR="00203726" w:rsidRPr="00493E9D" w:rsidRDefault="00203726" w:rsidP="009314CC">
            <w:pPr>
              <w:rPr>
                <w:b/>
                <w:spacing w:val="-10"/>
                <w:sz w:val="24"/>
                <w:szCs w:val="24"/>
                <w:lang w:val="uk-UA"/>
              </w:rPr>
            </w:pPr>
            <w:r w:rsidRPr="00493E9D">
              <w:rPr>
                <w:b/>
                <w:spacing w:val="-10"/>
                <w:sz w:val="24"/>
                <w:szCs w:val="24"/>
                <w:lang w:val="uk-UA"/>
              </w:rPr>
              <w:t>Обґрунтування очікуваної вартості предмета закупівлі, розміру бюджетного призначення</w:t>
            </w:r>
          </w:p>
        </w:tc>
        <w:tc>
          <w:tcPr>
            <w:tcW w:w="7230" w:type="dxa"/>
            <w:shd w:val="clear" w:color="auto" w:fill="auto"/>
            <w:vAlign w:val="center"/>
          </w:tcPr>
          <w:p w:rsidR="00203726" w:rsidRPr="00493E9D" w:rsidRDefault="00203726" w:rsidP="000E1A67">
            <w:pPr>
              <w:jc w:val="both"/>
              <w:rPr>
                <w:sz w:val="24"/>
                <w:szCs w:val="24"/>
                <w:lang w:val="uk-UA"/>
              </w:rPr>
            </w:pPr>
            <w:r w:rsidRPr="00493E9D">
              <w:rPr>
                <w:sz w:val="24"/>
                <w:szCs w:val="24"/>
                <w:lang w:val="uk-UA"/>
              </w:rPr>
              <w:t>Розрахунок очікуваної вартості зазначен</w:t>
            </w:r>
            <w:r w:rsidR="00ED75C0" w:rsidRPr="00493E9D">
              <w:rPr>
                <w:sz w:val="24"/>
                <w:szCs w:val="24"/>
                <w:lang w:val="uk-UA"/>
              </w:rPr>
              <w:t>их</w:t>
            </w:r>
            <w:r w:rsidRPr="00493E9D">
              <w:rPr>
                <w:sz w:val="24"/>
                <w:szCs w:val="24"/>
                <w:lang w:val="uk-UA"/>
              </w:rPr>
              <w:t xml:space="preserve"> </w:t>
            </w:r>
            <w:r w:rsidR="00ED75C0" w:rsidRPr="00493E9D">
              <w:rPr>
                <w:sz w:val="24"/>
                <w:szCs w:val="24"/>
                <w:lang w:val="uk-UA"/>
              </w:rPr>
              <w:t xml:space="preserve">послуг </w:t>
            </w:r>
            <w:r w:rsidRPr="00493E9D">
              <w:rPr>
                <w:sz w:val="24"/>
                <w:szCs w:val="24"/>
                <w:lang w:val="uk-UA"/>
              </w:rPr>
              <w:t xml:space="preserve">складено </w:t>
            </w:r>
            <w:r w:rsidR="00477475" w:rsidRPr="00493E9D">
              <w:rPr>
                <w:sz w:val="24"/>
                <w:szCs w:val="24"/>
                <w:lang w:val="uk-UA"/>
              </w:rPr>
              <w:br/>
            </w:r>
            <w:r w:rsidRPr="00493E9D">
              <w:rPr>
                <w:sz w:val="24"/>
                <w:szCs w:val="24"/>
                <w:lang w:val="uk-UA"/>
              </w:rPr>
              <w:t>з урахуванням рекомендацій Примірної методики визначення очікуваної вартості предмета закупівлі, затвердженої наказ</w:t>
            </w:r>
            <w:r w:rsidR="005D0DBC" w:rsidRPr="00493E9D">
              <w:rPr>
                <w:sz w:val="24"/>
                <w:szCs w:val="24"/>
                <w:lang w:val="uk-UA"/>
              </w:rPr>
              <w:t>ом Мінекономіки від 18.02.2020</w:t>
            </w:r>
            <w:r w:rsidR="002C17AD" w:rsidRPr="00493E9D">
              <w:rPr>
                <w:sz w:val="24"/>
                <w:szCs w:val="24"/>
                <w:lang w:val="uk-UA"/>
              </w:rPr>
              <w:t xml:space="preserve"> </w:t>
            </w:r>
            <w:r w:rsidRPr="00493E9D">
              <w:rPr>
                <w:sz w:val="24"/>
                <w:szCs w:val="24"/>
                <w:lang w:val="uk-UA"/>
              </w:rPr>
              <w:t>№ 275</w:t>
            </w:r>
            <w:r w:rsidR="006113A0" w:rsidRPr="00493E9D">
              <w:rPr>
                <w:sz w:val="24"/>
                <w:szCs w:val="24"/>
                <w:lang w:val="uk-UA"/>
              </w:rPr>
              <w:t xml:space="preserve"> (зі змінами)</w:t>
            </w:r>
            <w:r w:rsidRPr="00493E9D">
              <w:rPr>
                <w:sz w:val="24"/>
                <w:szCs w:val="24"/>
                <w:lang w:val="uk-UA"/>
              </w:rPr>
              <w:t xml:space="preserve">, </w:t>
            </w:r>
            <w:r w:rsidR="00F37D48" w:rsidRPr="00493E9D">
              <w:rPr>
                <w:sz w:val="24"/>
                <w:szCs w:val="24"/>
                <w:lang w:val="uk-UA"/>
              </w:rPr>
              <w:t>на підставі аналізу отриманих цінових пропозицій від учасників ринку.</w:t>
            </w:r>
          </w:p>
          <w:p w:rsidR="009F6EB9" w:rsidRPr="00493E9D" w:rsidRDefault="00493E9D" w:rsidP="00493E9D">
            <w:pPr>
              <w:jc w:val="both"/>
              <w:rPr>
                <w:b/>
                <w:spacing w:val="-10"/>
                <w:sz w:val="24"/>
                <w:szCs w:val="24"/>
                <w:lang w:val="uk-UA"/>
              </w:rPr>
            </w:pPr>
            <w:r w:rsidRPr="00493E9D">
              <w:rPr>
                <w:sz w:val="24"/>
                <w:szCs w:val="24"/>
                <w:lang w:val="uk-UA"/>
              </w:rPr>
              <w:t xml:space="preserve">Очікувана вартість закупівлі </w:t>
            </w:r>
            <w:r w:rsidRPr="00493E9D">
              <w:rPr>
                <w:color w:val="000000"/>
                <w:sz w:val="24"/>
                <w:szCs w:val="24"/>
                <w:lang w:val="uk-UA"/>
              </w:rPr>
              <w:t xml:space="preserve">послуг з масштабування віртуального </w:t>
            </w:r>
            <w:proofErr w:type="spellStart"/>
            <w:r w:rsidRPr="00493E9D">
              <w:rPr>
                <w:color w:val="000000"/>
                <w:sz w:val="24"/>
                <w:szCs w:val="24"/>
                <w:lang w:val="uk-UA"/>
              </w:rPr>
              <w:t>датадомену</w:t>
            </w:r>
            <w:proofErr w:type="spellEnd"/>
            <w:r w:rsidRPr="00493E9D">
              <w:rPr>
                <w:color w:val="000000"/>
                <w:sz w:val="24"/>
                <w:szCs w:val="24"/>
                <w:lang w:val="uk-UA"/>
              </w:rPr>
              <w:t xml:space="preserve"> </w:t>
            </w:r>
            <w:r w:rsidRPr="00493E9D">
              <w:rPr>
                <w:sz w:val="24"/>
                <w:szCs w:val="24"/>
                <w:lang w:val="uk-UA"/>
              </w:rPr>
              <w:t xml:space="preserve">складає </w:t>
            </w:r>
            <w:r w:rsidRPr="00493E9D">
              <w:rPr>
                <w:color w:val="000000" w:themeColor="text1"/>
                <w:sz w:val="24"/>
                <w:szCs w:val="24"/>
                <w:lang w:val="uk-UA" w:eastAsia="uk-UA"/>
              </w:rPr>
              <w:t xml:space="preserve">2 638 720,00 </w:t>
            </w:r>
            <w:r w:rsidRPr="00493E9D">
              <w:rPr>
                <w:sz w:val="24"/>
                <w:szCs w:val="24"/>
                <w:lang w:val="uk-UA"/>
              </w:rPr>
              <w:t>гр</w:t>
            </w:r>
            <w:r>
              <w:rPr>
                <w:sz w:val="24"/>
                <w:szCs w:val="24"/>
                <w:lang w:val="uk-UA"/>
              </w:rPr>
              <w:t>ивень.</w:t>
            </w:r>
          </w:p>
        </w:tc>
      </w:tr>
    </w:tbl>
    <w:p w:rsidR="005B0908" w:rsidRPr="00493E9D" w:rsidRDefault="005B0908" w:rsidP="00585A89">
      <w:pPr>
        <w:pStyle w:val="a5"/>
        <w:spacing w:after="0" w:afterAutospacing="0"/>
        <w:rPr>
          <w:lang w:val="uk-UA"/>
        </w:rPr>
      </w:pPr>
    </w:p>
    <w:sectPr w:rsidR="005B0908" w:rsidRPr="00493E9D" w:rsidSect="00585A89">
      <w:pgSz w:w="11906" w:h="16838"/>
      <w:pgMar w:top="1135" w:right="707"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83F71"/>
    <w:multiLevelType w:val="hybridMultilevel"/>
    <w:tmpl w:val="F8C44420"/>
    <w:lvl w:ilvl="0" w:tplc="E2A8FCAC">
      <w:start w:val="1"/>
      <w:numFmt w:val="decimal"/>
      <w:lvlText w:val="%1."/>
      <w:lvlJc w:val="left"/>
      <w:pPr>
        <w:ind w:left="709"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D656E7"/>
    <w:multiLevelType w:val="hybridMultilevel"/>
    <w:tmpl w:val="56300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3F456C92"/>
    <w:multiLevelType w:val="hybridMultilevel"/>
    <w:tmpl w:val="F1586A7A"/>
    <w:lvl w:ilvl="0" w:tplc="04220001">
      <w:start w:val="1"/>
      <w:numFmt w:val="bullet"/>
      <w:lvlText w:val=""/>
      <w:lvlJc w:val="left"/>
      <w:pPr>
        <w:ind w:left="1068" w:hanging="360"/>
      </w:pPr>
      <w:rPr>
        <w:rFonts w:ascii="Symbol" w:hAnsi="Symbol"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A1549F7"/>
    <w:multiLevelType w:val="hybridMultilevel"/>
    <w:tmpl w:val="B66268AA"/>
    <w:lvl w:ilvl="0" w:tplc="F4FE628A">
      <w:start w:val="1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AFF6D98"/>
    <w:multiLevelType w:val="hybridMultilevel"/>
    <w:tmpl w:val="C1267E62"/>
    <w:lvl w:ilvl="0" w:tplc="2B00ECB0">
      <w:start w:val="1"/>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EE8"/>
    <w:rsid w:val="00033E7D"/>
    <w:rsid w:val="00054E01"/>
    <w:rsid w:val="000706E4"/>
    <w:rsid w:val="00077369"/>
    <w:rsid w:val="00081B75"/>
    <w:rsid w:val="00086F67"/>
    <w:rsid w:val="000973D2"/>
    <w:rsid w:val="000B5B86"/>
    <w:rsid w:val="000D0C03"/>
    <w:rsid w:val="000E1A67"/>
    <w:rsid w:val="000E70B5"/>
    <w:rsid w:val="0012537A"/>
    <w:rsid w:val="00141BD1"/>
    <w:rsid w:val="0015017D"/>
    <w:rsid w:val="00171859"/>
    <w:rsid w:val="001A19FC"/>
    <w:rsid w:val="001A31F6"/>
    <w:rsid w:val="001A479A"/>
    <w:rsid w:val="001B55F4"/>
    <w:rsid w:val="001D5B72"/>
    <w:rsid w:val="001F5ED7"/>
    <w:rsid w:val="002034AB"/>
    <w:rsid w:val="00203726"/>
    <w:rsid w:val="0021093E"/>
    <w:rsid w:val="00225A63"/>
    <w:rsid w:val="002350CC"/>
    <w:rsid w:val="002650E2"/>
    <w:rsid w:val="00271381"/>
    <w:rsid w:val="0027542E"/>
    <w:rsid w:val="00294A4B"/>
    <w:rsid w:val="002B41B6"/>
    <w:rsid w:val="002C17AD"/>
    <w:rsid w:val="002C40ED"/>
    <w:rsid w:val="002D3260"/>
    <w:rsid w:val="002E5D23"/>
    <w:rsid w:val="002F3BA7"/>
    <w:rsid w:val="003137FD"/>
    <w:rsid w:val="00340225"/>
    <w:rsid w:val="003519DB"/>
    <w:rsid w:val="00362B9C"/>
    <w:rsid w:val="0037739F"/>
    <w:rsid w:val="00384599"/>
    <w:rsid w:val="003A2073"/>
    <w:rsid w:val="003B371E"/>
    <w:rsid w:val="003B6A4D"/>
    <w:rsid w:val="003E324F"/>
    <w:rsid w:val="003F6979"/>
    <w:rsid w:val="00407B78"/>
    <w:rsid w:val="00477475"/>
    <w:rsid w:val="00493E9D"/>
    <w:rsid w:val="004A19F0"/>
    <w:rsid w:val="004B4CFE"/>
    <w:rsid w:val="004C7D1C"/>
    <w:rsid w:val="004D179B"/>
    <w:rsid w:val="004D2A35"/>
    <w:rsid w:val="004E5E20"/>
    <w:rsid w:val="005226E6"/>
    <w:rsid w:val="00566745"/>
    <w:rsid w:val="005832AE"/>
    <w:rsid w:val="00585A89"/>
    <w:rsid w:val="005B0908"/>
    <w:rsid w:val="005D0DBC"/>
    <w:rsid w:val="005D2FD9"/>
    <w:rsid w:val="005E260E"/>
    <w:rsid w:val="005E3544"/>
    <w:rsid w:val="005E7A67"/>
    <w:rsid w:val="005F3EA7"/>
    <w:rsid w:val="005F4F54"/>
    <w:rsid w:val="00605FF3"/>
    <w:rsid w:val="006113A0"/>
    <w:rsid w:val="006146F3"/>
    <w:rsid w:val="006316A6"/>
    <w:rsid w:val="00635AAD"/>
    <w:rsid w:val="00635DAD"/>
    <w:rsid w:val="00640ABE"/>
    <w:rsid w:val="00646085"/>
    <w:rsid w:val="00653511"/>
    <w:rsid w:val="006574B1"/>
    <w:rsid w:val="00662A88"/>
    <w:rsid w:val="0068336F"/>
    <w:rsid w:val="006B3EE8"/>
    <w:rsid w:val="00702E0E"/>
    <w:rsid w:val="0071055C"/>
    <w:rsid w:val="00711059"/>
    <w:rsid w:val="00717F68"/>
    <w:rsid w:val="007471B5"/>
    <w:rsid w:val="00775D03"/>
    <w:rsid w:val="00780C08"/>
    <w:rsid w:val="00794F10"/>
    <w:rsid w:val="007B54D3"/>
    <w:rsid w:val="007D5E1A"/>
    <w:rsid w:val="007D5EF6"/>
    <w:rsid w:val="007E08E1"/>
    <w:rsid w:val="00806D88"/>
    <w:rsid w:val="00820D87"/>
    <w:rsid w:val="00821AD4"/>
    <w:rsid w:val="00824A5D"/>
    <w:rsid w:val="0083527A"/>
    <w:rsid w:val="008471FD"/>
    <w:rsid w:val="00847789"/>
    <w:rsid w:val="00851DB9"/>
    <w:rsid w:val="008520E6"/>
    <w:rsid w:val="00856076"/>
    <w:rsid w:val="00862973"/>
    <w:rsid w:val="008729A0"/>
    <w:rsid w:val="0087531D"/>
    <w:rsid w:val="008B2DAD"/>
    <w:rsid w:val="008C5672"/>
    <w:rsid w:val="008E3DB7"/>
    <w:rsid w:val="008F0828"/>
    <w:rsid w:val="008F7D30"/>
    <w:rsid w:val="009063F7"/>
    <w:rsid w:val="0091526A"/>
    <w:rsid w:val="009868D3"/>
    <w:rsid w:val="00992E2F"/>
    <w:rsid w:val="009943C6"/>
    <w:rsid w:val="009A7204"/>
    <w:rsid w:val="009B326B"/>
    <w:rsid w:val="009F6EB9"/>
    <w:rsid w:val="00A04E74"/>
    <w:rsid w:val="00A31873"/>
    <w:rsid w:val="00A34761"/>
    <w:rsid w:val="00A35553"/>
    <w:rsid w:val="00A5152A"/>
    <w:rsid w:val="00A74025"/>
    <w:rsid w:val="00A802D3"/>
    <w:rsid w:val="00A863F5"/>
    <w:rsid w:val="00A86CBF"/>
    <w:rsid w:val="00A872DA"/>
    <w:rsid w:val="00AB04AA"/>
    <w:rsid w:val="00AB14B1"/>
    <w:rsid w:val="00AB3E18"/>
    <w:rsid w:val="00AC11DA"/>
    <w:rsid w:val="00AF6D36"/>
    <w:rsid w:val="00AF7726"/>
    <w:rsid w:val="00AF7D8A"/>
    <w:rsid w:val="00B0388A"/>
    <w:rsid w:val="00B167EA"/>
    <w:rsid w:val="00B21DF4"/>
    <w:rsid w:val="00B2733F"/>
    <w:rsid w:val="00B502D5"/>
    <w:rsid w:val="00B532DC"/>
    <w:rsid w:val="00B66682"/>
    <w:rsid w:val="00B71012"/>
    <w:rsid w:val="00B72814"/>
    <w:rsid w:val="00B8109D"/>
    <w:rsid w:val="00B846D6"/>
    <w:rsid w:val="00BB74E0"/>
    <w:rsid w:val="00BC0BD1"/>
    <w:rsid w:val="00BC4E5C"/>
    <w:rsid w:val="00BE7DD8"/>
    <w:rsid w:val="00BF3E14"/>
    <w:rsid w:val="00C1577A"/>
    <w:rsid w:val="00C201C5"/>
    <w:rsid w:val="00C26550"/>
    <w:rsid w:val="00C26871"/>
    <w:rsid w:val="00C40D7E"/>
    <w:rsid w:val="00C5367E"/>
    <w:rsid w:val="00C849E7"/>
    <w:rsid w:val="00CA5582"/>
    <w:rsid w:val="00CA5F36"/>
    <w:rsid w:val="00CC4733"/>
    <w:rsid w:val="00CD40B3"/>
    <w:rsid w:val="00D40930"/>
    <w:rsid w:val="00D4540A"/>
    <w:rsid w:val="00D57979"/>
    <w:rsid w:val="00D90547"/>
    <w:rsid w:val="00DB0514"/>
    <w:rsid w:val="00DB05BF"/>
    <w:rsid w:val="00DF7862"/>
    <w:rsid w:val="00E10A42"/>
    <w:rsid w:val="00E4603A"/>
    <w:rsid w:val="00E815A6"/>
    <w:rsid w:val="00E92DA9"/>
    <w:rsid w:val="00EA53F4"/>
    <w:rsid w:val="00ED75C0"/>
    <w:rsid w:val="00EE5E91"/>
    <w:rsid w:val="00EF716C"/>
    <w:rsid w:val="00F25F70"/>
    <w:rsid w:val="00F360A3"/>
    <w:rsid w:val="00F37D48"/>
    <w:rsid w:val="00F63E8E"/>
    <w:rsid w:val="00F87917"/>
    <w:rsid w:val="00F90907"/>
    <w:rsid w:val="00FA4EE8"/>
    <w:rsid w:val="00FB76C1"/>
    <w:rsid w:val="00FC30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E3CD"/>
  <w15:docId w15:val="{C299CC6D-54C1-4229-BD31-DCC282B9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02D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3E8E"/>
    <w:pPr>
      <w:ind w:left="720"/>
      <w:contextualSpacing/>
    </w:pPr>
  </w:style>
  <w:style w:type="paragraph" w:styleId="a5">
    <w:name w:val="Normal (Web)"/>
    <w:basedOn w:val="a"/>
    <w:uiPriority w:val="99"/>
    <w:unhideWhenUsed/>
    <w:rsid w:val="00D57979"/>
    <w:pPr>
      <w:spacing w:before="100" w:beforeAutospacing="1" w:after="100" w:afterAutospacing="1"/>
    </w:pPr>
    <w:rPr>
      <w:sz w:val="24"/>
      <w:szCs w:val="24"/>
    </w:rPr>
  </w:style>
  <w:style w:type="paragraph" w:customStyle="1" w:styleId="a6">
    <w:name w:val="Знак Знак"/>
    <w:basedOn w:val="a"/>
    <w:rsid w:val="00A5152A"/>
    <w:rPr>
      <w:rFonts w:ascii="Verdana" w:hAnsi="Verdana" w:cs="Verdana"/>
      <w:lang w:val="en-US" w:eastAsia="en-US"/>
    </w:rPr>
  </w:style>
  <w:style w:type="paragraph" w:customStyle="1" w:styleId="a7">
    <w:name w:val="Знак Знак"/>
    <w:basedOn w:val="a"/>
    <w:rsid w:val="00203726"/>
    <w:rPr>
      <w:rFonts w:ascii="Verdana" w:hAnsi="Verdana" w:cs="Verdana"/>
      <w:lang w:val="en-US" w:eastAsia="en-US"/>
    </w:rPr>
  </w:style>
  <w:style w:type="character" w:styleId="a8">
    <w:name w:val="Hyperlink"/>
    <w:basedOn w:val="a0"/>
    <w:uiPriority w:val="99"/>
    <w:unhideWhenUsed/>
    <w:rsid w:val="005D2FD9"/>
    <w:rPr>
      <w:color w:val="0000FF" w:themeColor="hyperlink"/>
      <w:u w:val="single"/>
    </w:rPr>
  </w:style>
  <w:style w:type="table" w:customStyle="1" w:styleId="1">
    <w:name w:val="Сітка таблиці1"/>
    <w:basedOn w:val="a1"/>
    <w:next w:val="a3"/>
    <w:uiPriority w:val="99"/>
    <w:rsid w:val="009F6EB9"/>
    <w:pPr>
      <w:spacing w:after="0" w:line="240" w:lineRule="auto"/>
    </w:pPr>
    <w:rPr>
      <w:rFonts w:ascii="Calibri" w:eastAsia="Times New Roman"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967">
      <w:bodyDiv w:val="1"/>
      <w:marLeft w:val="0"/>
      <w:marRight w:val="0"/>
      <w:marTop w:val="0"/>
      <w:marBottom w:val="0"/>
      <w:divBdr>
        <w:top w:val="none" w:sz="0" w:space="0" w:color="auto"/>
        <w:left w:val="none" w:sz="0" w:space="0" w:color="auto"/>
        <w:bottom w:val="none" w:sz="0" w:space="0" w:color="auto"/>
        <w:right w:val="none" w:sz="0" w:space="0" w:color="auto"/>
      </w:divBdr>
    </w:div>
    <w:div w:id="11613605">
      <w:bodyDiv w:val="1"/>
      <w:marLeft w:val="0"/>
      <w:marRight w:val="0"/>
      <w:marTop w:val="0"/>
      <w:marBottom w:val="0"/>
      <w:divBdr>
        <w:top w:val="none" w:sz="0" w:space="0" w:color="auto"/>
        <w:left w:val="none" w:sz="0" w:space="0" w:color="auto"/>
        <w:bottom w:val="none" w:sz="0" w:space="0" w:color="auto"/>
        <w:right w:val="none" w:sz="0" w:space="0" w:color="auto"/>
      </w:divBdr>
    </w:div>
    <w:div w:id="16122359">
      <w:bodyDiv w:val="1"/>
      <w:marLeft w:val="0"/>
      <w:marRight w:val="0"/>
      <w:marTop w:val="0"/>
      <w:marBottom w:val="0"/>
      <w:divBdr>
        <w:top w:val="none" w:sz="0" w:space="0" w:color="auto"/>
        <w:left w:val="none" w:sz="0" w:space="0" w:color="auto"/>
        <w:bottom w:val="none" w:sz="0" w:space="0" w:color="auto"/>
        <w:right w:val="none" w:sz="0" w:space="0" w:color="auto"/>
      </w:divBdr>
    </w:div>
    <w:div w:id="22752218">
      <w:bodyDiv w:val="1"/>
      <w:marLeft w:val="0"/>
      <w:marRight w:val="0"/>
      <w:marTop w:val="0"/>
      <w:marBottom w:val="0"/>
      <w:divBdr>
        <w:top w:val="none" w:sz="0" w:space="0" w:color="auto"/>
        <w:left w:val="none" w:sz="0" w:space="0" w:color="auto"/>
        <w:bottom w:val="none" w:sz="0" w:space="0" w:color="auto"/>
        <w:right w:val="none" w:sz="0" w:space="0" w:color="auto"/>
      </w:divBdr>
    </w:div>
    <w:div w:id="31077900">
      <w:bodyDiv w:val="1"/>
      <w:marLeft w:val="0"/>
      <w:marRight w:val="0"/>
      <w:marTop w:val="0"/>
      <w:marBottom w:val="0"/>
      <w:divBdr>
        <w:top w:val="none" w:sz="0" w:space="0" w:color="auto"/>
        <w:left w:val="none" w:sz="0" w:space="0" w:color="auto"/>
        <w:bottom w:val="none" w:sz="0" w:space="0" w:color="auto"/>
        <w:right w:val="none" w:sz="0" w:space="0" w:color="auto"/>
      </w:divBdr>
    </w:div>
    <w:div w:id="67384449">
      <w:bodyDiv w:val="1"/>
      <w:marLeft w:val="0"/>
      <w:marRight w:val="0"/>
      <w:marTop w:val="0"/>
      <w:marBottom w:val="0"/>
      <w:divBdr>
        <w:top w:val="none" w:sz="0" w:space="0" w:color="auto"/>
        <w:left w:val="none" w:sz="0" w:space="0" w:color="auto"/>
        <w:bottom w:val="none" w:sz="0" w:space="0" w:color="auto"/>
        <w:right w:val="none" w:sz="0" w:space="0" w:color="auto"/>
      </w:divBdr>
    </w:div>
    <w:div w:id="103774871">
      <w:bodyDiv w:val="1"/>
      <w:marLeft w:val="0"/>
      <w:marRight w:val="0"/>
      <w:marTop w:val="0"/>
      <w:marBottom w:val="0"/>
      <w:divBdr>
        <w:top w:val="none" w:sz="0" w:space="0" w:color="auto"/>
        <w:left w:val="none" w:sz="0" w:space="0" w:color="auto"/>
        <w:bottom w:val="none" w:sz="0" w:space="0" w:color="auto"/>
        <w:right w:val="none" w:sz="0" w:space="0" w:color="auto"/>
      </w:divBdr>
    </w:div>
    <w:div w:id="172719636">
      <w:bodyDiv w:val="1"/>
      <w:marLeft w:val="0"/>
      <w:marRight w:val="0"/>
      <w:marTop w:val="0"/>
      <w:marBottom w:val="0"/>
      <w:divBdr>
        <w:top w:val="none" w:sz="0" w:space="0" w:color="auto"/>
        <w:left w:val="none" w:sz="0" w:space="0" w:color="auto"/>
        <w:bottom w:val="none" w:sz="0" w:space="0" w:color="auto"/>
        <w:right w:val="none" w:sz="0" w:space="0" w:color="auto"/>
      </w:divBdr>
    </w:div>
    <w:div w:id="284581176">
      <w:bodyDiv w:val="1"/>
      <w:marLeft w:val="0"/>
      <w:marRight w:val="0"/>
      <w:marTop w:val="0"/>
      <w:marBottom w:val="0"/>
      <w:divBdr>
        <w:top w:val="none" w:sz="0" w:space="0" w:color="auto"/>
        <w:left w:val="none" w:sz="0" w:space="0" w:color="auto"/>
        <w:bottom w:val="none" w:sz="0" w:space="0" w:color="auto"/>
        <w:right w:val="none" w:sz="0" w:space="0" w:color="auto"/>
      </w:divBdr>
    </w:div>
    <w:div w:id="294916629">
      <w:bodyDiv w:val="1"/>
      <w:marLeft w:val="0"/>
      <w:marRight w:val="0"/>
      <w:marTop w:val="0"/>
      <w:marBottom w:val="0"/>
      <w:divBdr>
        <w:top w:val="none" w:sz="0" w:space="0" w:color="auto"/>
        <w:left w:val="none" w:sz="0" w:space="0" w:color="auto"/>
        <w:bottom w:val="none" w:sz="0" w:space="0" w:color="auto"/>
        <w:right w:val="none" w:sz="0" w:space="0" w:color="auto"/>
      </w:divBdr>
    </w:div>
    <w:div w:id="351149245">
      <w:bodyDiv w:val="1"/>
      <w:marLeft w:val="0"/>
      <w:marRight w:val="0"/>
      <w:marTop w:val="0"/>
      <w:marBottom w:val="0"/>
      <w:divBdr>
        <w:top w:val="none" w:sz="0" w:space="0" w:color="auto"/>
        <w:left w:val="none" w:sz="0" w:space="0" w:color="auto"/>
        <w:bottom w:val="none" w:sz="0" w:space="0" w:color="auto"/>
        <w:right w:val="none" w:sz="0" w:space="0" w:color="auto"/>
      </w:divBdr>
    </w:div>
    <w:div w:id="433744000">
      <w:bodyDiv w:val="1"/>
      <w:marLeft w:val="0"/>
      <w:marRight w:val="0"/>
      <w:marTop w:val="0"/>
      <w:marBottom w:val="0"/>
      <w:divBdr>
        <w:top w:val="none" w:sz="0" w:space="0" w:color="auto"/>
        <w:left w:val="none" w:sz="0" w:space="0" w:color="auto"/>
        <w:bottom w:val="none" w:sz="0" w:space="0" w:color="auto"/>
        <w:right w:val="none" w:sz="0" w:space="0" w:color="auto"/>
      </w:divBdr>
    </w:div>
    <w:div w:id="512766466">
      <w:bodyDiv w:val="1"/>
      <w:marLeft w:val="0"/>
      <w:marRight w:val="0"/>
      <w:marTop w:val="0"/>
      <w:marBottom w:val="0"/>
      <w:divBdr>
        <w:top w:val="none" w:sz="0" w:space="0" w:color="auto"/>
        <w:left w:val="none" w:sz="0" w:space="0" w:color="auto"/>
        <w:bottom w:val="none" w:sz="0" w:space="0" w:color="auto"/>
        <w:right w:val="none" w:sz="0" w:space="0" w:color="auto"/>
      </w:divBdr>
    </w:div>
    <w:div w:id="594555979">
      <w:bodyDiv w:val="1"/>
      <w:marLeft w:val="0"/>
      <w:marRight w:val="0"/>
      <w:marTop w:val="0"/>
      <w:marBottom w:val="0"/>
      <w:divBdr>
        <w:top w:val="none" w:sz="0" w:space="0" w:color="auto"/>
        <w:left w:val="none" w:sz="0" w:space="0" w:color="auto"/>
        <w:bottom w:val="none" w:sz="0" w:space="0" w:color="auto"/>
        <w:right w:val="none" w:sz="0" w:space="0" w:color="auto"/>
      </w:divBdr>
    </w:div>
    <w:div w:id="598873771">
      <w:bodyDiv w:val="1"/>
      <w:marLeft w:val="0"/>
      <w:marRight w:val="0"/>
      <w:marTop w:val="0"/>
      <w:marBottom w:val="0"/>
      <w:divBdr>
        <w:top w:val="none" w:sz="0" w:space="0" w:color="auto"/>
        <w:left w:val="none" w:sz="0" w:space="0" w:color="auto"/>
        <w:bottom w:val="none" w:sz="0" w:space="0" w:color="auto"/>
        <w:right w:val="none" w:sz="0" w:space="0" w:color="auto"/>
      </w:divBdr>
    </w:div>
    <w:div w:id="627052663">
      <w:bodyDiv w:val="1"/>
      <w:marLeft w:val="0"/>
      <w:marRight w:val="0"/>
      <w:marTop w:val="0"/>
      <w:marBottom w:val="0"/>
      <w:divBdr>
        <w:top w:val="none" w:sz="0" w:space="0" w:color="auto"/>
        <w:left w:val="none" w:sz="0" w:space="0" w:color="auto"/>
        <w:bottom w:val="none" w:sz="0" w:space="0" w:color="auto"/>
        <w:right w:val="none" w:sz="0" w:space="0" w:color="auto"/>
      </w:divBdr>
    </w:div>
    <w:div w:id="633412561">
      <w:bodyDiv w:val="1"/>
      <w:marLeft w:val="0"/>
      <w:marRight w:val="0"/>
      <w:marTop w:val="0"/>
      <w:marBottom w:val="0"/>
      <w:divBdr>
        <w:top w:val="none" w:sz="0" w:space="0" w:color="auto"/>
        <w:left w:val="none" w:sz="0" w:space="0" w:color="auto"/>
        <w:bottom w:val="none" w:sz="0" w:space="0" w:color="auto"/>
        <w:right w:val="none" w:sz="0" w:space="0" w:color="auto"/>
      </w:divBdr>
    </w:div>
    <w:div w:id="638534651">
      <w:bodyDiv w:val="1"/>
      <w:marLeft w:val="0"/>
      <w:marRight w:val="0"/>
      <w:marTop w:val="0"/>
      <w:marBottom w:val="0"/>
      <w:divBdr>
        <w:top w:val="none" w:sz="0" w:space="0" w:color="auto"/>
        <w:left w:val="none" w:sz="0" w:space="0" w:color="auto"/>
        <w:bottom w:val="none" w:sz="0" w:space="0" w:color="auto"/>
        <w:right w:val="none" w:sz="0" w:space="0" w:color="auto"/>
      </w:divBdr>
    </w:div>
    <w:div w:id="684326962">
      <w:bodyDiv w:val="1"/>
      <w:marLeft w:val="0"/>
      <w:marRight w:val="0"/>
      <w:marTop w:val="0"/>
      <w:marBottom w:val="0"/>
      <w:divBdr>
        <w:top w:val="none" w:sz="0" w:space="0" w:color="auto"/>
        <w:left w:val="none" w:sz="0" w:space="0" w:color="auto"/>
        <w:bottom w:val="none" w:sz="0" w:space="0" w:color="auto"/>
        <w:right w:val="none" w:sz="0" w:space="0" w:color="auto"/>
      </w:divBdr>
    </w:div>
    <w:div w:id="708336593">
      <w:bodyDiv w:val="1"/>
      <w:marLeft w:val="0"/>
      <w:marRight w:val="0"/>
      <w:marTop w:val="0"/>
      <w:marBottom w:val="0"/>
      <w:divBdr>
        <w:top w:val="none" w:sz="0" w:space="0" w:color="auto"/>
        <w:left w:val="none" w:sz="0" w:space="0" w:color="auto"/>
        <w:bottom w:val="none" w:sz="0" w:space="0" w:color="auto"/>
        <w:right w:val="none" w:sz="0" w:space="0" w:color="auto"/>
      </w:divBdr>
    </w:div>
    <w:div w:id="774524725">
      <w:bodyDiv w:val="1"/>
      <w:marLeft w:val="0"/>
      <w:marRight w:val="0"/>
      <w:marTop w:val="0"/>
      <w:marBottom w:val="0"/>
      <w:divBdr>
        <w:top w:val="none" w:sz="0" w:space="0" w:color="auto"/>
        <w:left w:val="none" w:sz="0" w:space="0" w:color="auto"/>
        <w:bottom w:val="none" w:sz="0" w:space="0" w:color="auto"/>
        <w:right w:val="none" w:sz="0" w:space="0" w:color="auto"/>
      </w:divBdr>
    </w:div>
    <w:div w:id="804733788">
      <w:bodyDiv w:val="1"/>
      <w:marLeft w:val="0"/>
      <w:marRight w:val="0"/>
      <w:marTop w:val="0"/>
      <w:marBottom w:val="0"/>
      <w:divBdr>
        <w:top w:val="none" w:sz="0" w:space="0" w:color="auto"/>
        <w:left w:val="none" w:sz="0" w:space="0" w:color="auto"/>
        <w:bottom w:val="none" w:sz="0" w:space="0" w:color="auto"/>
        <w:right w:val="none" w:sz="0" w:space="0" w:color="auto"/>
      </w:divBdr>
    </w:div>
    <w:div w:id="885722451">
      <w:bodyDiv w:val="1"/>
      <w:marLeft w:val="0"/>
      <w:marRight w:val="0"/>
      <w:marTop w:val="0"/>
      <w:marBottom w:val="0"/>
      <w:divBdr>
        <w:top w:val="none" w:sz="0" w:space="0" w:color="auto"/>
        <w:left w:val="none" w:sz="0" w:space="0" w:color="auto"/>
        <w:bottom w:val="none" w:sz="0" w:space="0" w:color="auto"/>
        <w:right w:val="none" w:sz="0" w:space="0" w:color="auto"/>
      </w:divBdr>
    </w:div>
    <w:div w:id="893468565">
      <w:bodyDiv w:val="1"/>
      <w:marLeft w:val="0"/>
      <w:marRight w:val="0"/>
      <w:marTop w:val="0"/>
      <w:marBottom w:val="0"/>
      <w:divBdr>
        <w:top w:val="none" w:sz="0" w:space="0" w:color="auto"/>
        <w:left w:val="none" w:sz="0" w:space="0" w:color="auto"/>
        <w:bottom w:val="none" w:sz="0" w:space="0" w:color="auto"/>
        <w:right w:val="none" w:sz="0" w:space="0" w:color="auto"/>
      </w:divBdr>
    </w:div>
    <w:div w:id="894314277">
      <w:bodyDiv w:val="1"/>
      <w:marLeft w:val="0"/>
      <w:marRight w:val="0"/>
      <w:marTop w:val="0"/>
      <w:marBottom w:val="0"/>
      <w:divBdr>
        <w:top w:val="none" w:sz="0" w:space="0" w:color="auto"/>
        <w:left w:val="none" w:sz="0" w:space="0" w:color="auto"/>
        <w:bottom w:val="none" w:sz="0" w:space="0" w:color="auto"/>
        <w:right w:val="none" w:sz="0" w:space="0" w:color="auto"/>
      </w:divBdr>
    </w:div>
    <w:div w:id="912736703">
      <w:bodyDiv w:val="1"/>
      <w:marLeft w:val="0"/>
      <w:marRight w:val="0"/>
      <w:marTop w:val="0"/>
      <w:marBottom w:val="0"/>
      <w:divBdr>
        <w:top w:val="none" w:sz="0" w:space="0" w:color="auto"/>
        <w:left w:val="none" w:sz="0" w:space="0" w:color="auto"/>
        <w:bottom w:val="none" w:sz="0" w:space="0" w:color="auto"/>
        <w:right w:val="none" w:sz="0" w:space="0" w:color="auto"/>
      </w:divBdr>
    </w:div>
    <w:div w:id="940527336">
      <w:bodyDiv w:val="1"/>
      <w:marLeft w:val="0"/>
      <w:marRight w:val="0"/>
      <w:marTop w:val="0"/>
      <w:marBottom w:val="0"/>
      <w:divBdr>
        <w:top w:val="none" w:sz="0" w:space="0" w:color="auto"/>
        <w:left w:val="none" w:sz="0" w:space="0" w:color="auto"/>
        <w:bottom w:val="none" w:sz="0" w:space="0" w:color="auto"/>
        <w:right w:val="none" w:sz="0" w:space="0" w:color="auto"/>
      </w:divBdr>
    </w:div>
    <w:div w:id="965355410">
      <w:bodyDiv w:val="1"/>
      <w:marLeft w:val="0"/>
      <w:marRight w:val="0"/>
      <w:marTop w:val="0"/>
      <w:marBottom w:val="0"/>
      <w:divBdr>
        <w:top w:val="none" w:sz="0" w:space="0" w:color="auto"/>
        <w:left w:val="none" w:sz="0" w:space="0" w:color="auto"/>
        <w:bottom w:val="none" w:sz="0" w:space="0" w:color="auto"/>
        <w:right w:val="none" w:sz="0" w:space="0" w:color="auto"/>
      </w:divBdr>
    </w:div>
    <w:div w:id="1025982646">
      <w:bodyDiv w:val="1"/>
      <w:marLeft w:val="0"/>
      <w:marRight w:val="0"/>
      <w:marTop w:val="0"/>
      <w:marBottom w:val="0"/>
      <w:divBdr>
        <w:top w:val="none" w:sz="0" w:space="0" w:color="auto"/>
        <w:left w:val="none" w:sz="0" w:space="0" w:color="auto"/>
        <w:bottom w:val="none" w:sz="0" w:space="0" w:color="auto"/>
        <w:right w:val="none" w:sz="0" w:space="0" w:color="auto"/>
      </w:divBdr>
    </w:div>
    <w:div w:id="1034311769">
      <w:bodyDiv w:val="1"/>
      <w:marLeft w:val="0"/>
      <w:marRight w:val="0"/>
      <w:marTop w:val="0"/>
      <w:marBottom w:val="0"/>
      <w:divBdr>
        <w:top w:val="none" w:sz="0" w:space="0" w:color="auto"/>
        <w:left w:val="none" w:sz="0" w:space="0" w:color="auto"/>
        <w:bottom w:val="none" w:sz="0" w:space="0" w:color="auto"/>
        <w:right w:val="none" w:sz="0" w:space="0" w:color="auto"/>
      </w:divBdr>
    </w:div>
    <w:div w:id="1087380116">
      <w:bodyDiv w:val="1"/>
      <w:marLeft w:val="0"/>
      <w:marRight w:val="0"/>
      <w:marTop w:val="0"/>
      <w:marBottom w:val="0"/>
      <w:divBdr>
        <w:top w:val="none" w:sz="0" w:space="0" w:color="auto"/>
        <w:left w:val="none" w:sz="0" w:space="0" w:color="auto"/>
        <w:bottom w:val="none" w:sz="0" w:space="0" w:color="auto"/>
        <w:right w:val="none" w:sz="0" w:space="0" w:color="auto"/>
      </w:divBdr>
    </w:div>
    <w:div w:id="1146387222">
      <w:bodyDiv w:val="1"/>
      <w:marLeft w:val="0"/>
      <w:marRight w:val="0"/>
      <w:marTop w:val="0"/>
      <w:marBottom w:val="0"/>
      <w:divBdr>
        <w:top w:val="none" w:sz="0" w:space="0" w:color="auto"/>
        <w:left w:val="none" w:sz="0" w:space="0" w:color="auto"/>
        <w:bottom w:val="none" w:sz="0" w:space="0" w:color="auto"/>
        <w:right w:val="none" w:sz="0" w:space="0" w:color="auto"/>
      </w:divBdr>
    </w:div>
    <w:div w:id="1156649877">
      <w:bodyDiv w:val="1"/>
      <w:marLeft w:val="0"/>
      <w:marRight w:val="0"/>
      <w:marTop w:val="0"/>
      <w:marBottom w:val="0"/>
      <w:divBdr>
        <w:top w:val="none" w:sz="0" w:space="0" w:color="auto"/>
        <w:left w:val="none" w:sz="0" w:space="0" w:color="auto"/>
        <w:bottom w:val="none" w:sz="0" w:space="0" w:color="auto"/>
        <w:right w:val="none" w:sz="0" w:space="0" w:color="auto"/>
      </w:divBdr>
    </w:div>
    <w:div w:id="1275940553">
      <w:bodyDiv w:val="1"/>
      <w:marLeft w:val="0"/>
      <w:marRight w:val="0"/>
      <w:marTop w:val="0"/>
      <w:marBottom w:val="0"/>
      <w:divBdr>
        <w:top w:val="none" w:sz="0" w:space="0" w:color="auto"/>
        <w:left w:val="none" w:sz="0" w:space="0" w:color="auto"/>
        <w:bottom w:val="none" w:sz="0" w:space="0" w:color="auto"/>
        <w:right w:val="none" w:sz="0" w:space="0" w:color="auto"/>
      </w:divBdr>
    </w:div>
    <w:div w:id="1525750641">
      <w:bodyDiv w:val="1"/>
      <w:marLeft w:val="0"/>
      <w:marRight w:val="0"/>
      <w:marTop w:val="0"/>
      <w:marBottom w:val="0"/>
      <w:divBdr>
        <w:top w:val="none" w:sz="0" w:space="0" w:color="auto"/>
        <w:left w:val="none" w:sz="0" w:space="0" w:color="auto"/>
        <w:bottom w:val="none" w:sz="0" w:space="0" w:color="auto"/>
        <w:right w:val="none" w:sz="0" w:space="0" w:color="auto"/>
      </w:divBdr>
    </w:div>
    <w:div w:id="1542131511">
      <w:bodyDiv w:val="1"/>
      <w:marLeft w:val="0"/>
      <w:marRight w:val="0"/>
      <w:marTop w:val="0"/>
      <w:marBottom w:val="0"/>
      <w:divBdr>
        <w:top w:val="none" w:sz="0" w:space="0" w:color="auto"/>
        <w:left w:val="none" w:sz="0" w:space="0" w:color="auto"/>
        <w:bottom w:val="none" w:sz="0" w:space="0" w:color="auto"/>
        <w:right w:val="none" w:sz="0" w:space="0" w:color="auto"/>
      </w:divBdr>
    </w:div>
    <w:div w:id="1596278526">
      <w:bodyDiv w:val="1"/>
      <w:marLeft w:val="0"/>
      <w:marRight w:val="0"/>
      <w:marTop w:val="0"/>
      <w:marBottom w:val="0"/>
      <w:divBdr>
        <w:top w:val="none" w:sz="0" w:space="0" w:color="auto"/>
        <w:left w:val="none" w:sz="0" w:space="0" w:color="auto"/>
        <w:bottom w:val="none" w:sz="0" w:space="0" w:color="auto"/>
        <w:right w:val="none" w:sz="0" w:space="0" w:color="auto"/>
      </w:divBdr>
    </w:div>
    <w:div w:id="1606425570">
      <w:bodyDiv w:val="1"/>
      <w:marLeft w:val="0"/>
      <w:marRight w:val="0"/>
      <w:marTop w:val="0"/>
      <w:marBottom w:val="0"/>
      <w:divBdr>
        <w:top w:val="none" w:sz="0" w:space="0" w:color="auto"/>
        <w:left w:val="none" w:sz="0" w:space="0" w:color="auto"/>
        <w:bottom w:val="none" w:sz="0" w:space="0" w:color="auto"/>
        <w:right w:val="none" w:sz="0" w:space="0" w:color="auto"/>
      </w:divBdr>
    </w:div>
    <w:div w:id="1616403870">
      <w:bodyDiv w:val="1"/>
      <w:marLeft w:val="0"/>
      <w:marRight w:val="0"/>
      <w:marTop w:val="0"/>
      <w:marBottom w:val="0"/>
      <w:divBdr>
        <w:top w:val="none" w:sz="0" w:space="0" w:color="auto"/>
        <w:left w:val="none" w:sz="0" w:space="0" w:color="auto"/>
        <w:bottom w:val="none" w:sz="0" w:space="0" w:color="auto"/>
        <w:right w:val="none" w:sz="0" w:space="0" w:color="auto"/>
      </w:divBdr>
    </w:div>
    <w:div w:id="1813407327">
      <w:bodyDiv w:val="1"/>
      <w:marLeft w:val="0"/>
      <w:marRight w:val="0"/>
      <w:marTop w:val="0"/>
      <w:marBottom w:val="0"/>
      <w:divBdr>
        <w:top w:val="none" w:sz="0" w:space="0" w:color="auto"/>
        <w:left w:val="none" w:sz="0" w:space="0" w:color="auto"/>
        <w:bottom w:val="none" w:sz="0" w:space="0" w:color="auto"/>
        <w:right w:val="none" w:sz="0" w:space="0" w:color="auto"/>
      </w:divBdr>
    </w:div>
    <w:div w:id="1892764338">
      <w:bodyDiv w:val="1"/>
      <w:marLeft w:val="0"/>
      <w:marRight w:val="0"/>
      <w:marTop w:val="0"/>
      <w:marBottom w:val="0"/>
      <w:divBdr>
        <w:top w:val="none" w:sz="0" w:space="0" w:color="auto"/>
        <w:left w:val="none" w:sz="0" w:space="0" w:color="auto"/>
        <w:bottom w:val="none" w:sz="0" w:space="0" w:color="auto"/>
        <w:right w:val="none" w:sz="0" w:space="0" w:color="auto"/>
      </w:divBdr>
    </w:div>
    <w:div w:id="1904177910">
      <w:bodyDiv w:val="1"/>
      <w:marLeft w:val="0"/>
      <w:marRight w:val="0"/>
      <w:marTop w:val="0"/>
      <w:marBottom w:val="0"/>
      <w:divBdr>
        <w:top w:val="none" w:sz="0" w:space="0" w:color="auto"/>
        <w:left w:val="none" w:sz="0" w:space="0" w:color="auto"/>
        <w:bottom w:val="none" w:sz="0" w:space="0" w:color="auto"/>
        <w:right w:val="none" w:sz="0" w:space="0" w:color="auto"/>
      </w:divBdr>
    </w:div>
    <w:div w:id="1939211783">
      <w:bodyDiv w:val="1"/>
      <w:marLeft w:val="0"/>
      <w:marRight w:val="0"/>
      <w:marTop w:val="0"/>
      <w:marBottom w:val="0"/>
      <w:divBdr>
        <w:top w:val="none" w:sz="0" w:space="0" w:color="auto"/>
        <w:left w:val="none" w:sz="0" w:space="0" w:color="auto"/>
        <w:bottom w:val="none" w:sz="0" w:space="0" w:color="auto"/>
        <w:right w:val="none" w:sz="0" w:space="0" w:color="auto"/>
      </w:divBdr>
    </w:div>
    <w:div w:id="2039353429">
      <w:bodyDiv w:val="1"/>
      <w:marLeft w:val="0"/>
      <w:marRight w:val="0"/>
      <w:marTop w:val="0"/>
      <w:marBottom w:val="0"/>
      <w:divBdr>
        <w:top w:val="none" w:sz="0" w:space="0" w:color="auto"/>
        <w:left w:val="none" w:sz="0" w:space="0" w:color="auto"/>
        <w:bottom w:val="none" w:sz="0" w:space="0" w:color="auto"/>
        <w:right w:val="none" w:sz="0" w:space="0" w:color="auto"/>
      </w:divBdr>
    </w:div>
    <w:div w:id="2053115788">
      <w:bodyDiv w:val="1"/>
      <w:marLeft w:val="0"/>
      <w:marRight w:val="0"/>
      <w:marTop w:val="0"/>
      <w:marBottom w:val="0"/>
      <w:divBdr>
        <w:top w:val="none" w:sz="0" w:space="0" w:color="auto"/>
        <w:left w:val="none" w:sz="0" w:space="0" w:color="auto"/>
        <w:bottom w:val="none" w:sz="0" w:space="0" w:color="auto"/>
        <w:right w:val="none" w:sz="0" w:space="0" w:color="auto"/>
      </w:divBdr>
    </w:div>
    <w:div w:id="2090425841">
      <w:bodyDiv w:val="1"/>
      <w:marLeft w:val="0"/>
      <w:marRight w:val="0"/>
      <w:marTop w:val="0"/>
      <w:marBottom w:val="0"/>
      <w:divBdr>
        <w:top w:val="none" w:sz="0" w:space="0" w:color="auto"/>
        <w:left w:val="none" w:sz="0" w:space="0" w:color="auto"/>
        <w:bottom w:val="none" w:sz="0" w:space="0" w:color="auto"/>
        <w:right w:val="none" w:sz="0" w:space="0" w:color="auto"/>
      </w:divBdr>
    </w:div>
    <w:div w:id="21147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1366</Words>
  <Characters>779</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ПЕЛЕХ МАРИНА ЄВГЕНІВНА</dc:creator>
  <cp:lastModifiedBy>БУЛАНИЙ ПАВЛО ПЕТРОВИЧ</cp:lastModifiedBy>
  <cp:revision>28</cp:revision>
  <cp:lastPrinted>2026-06-11T06:17:00Z</cp:lastPrinted>
  <dcterms:created xsi:type="dcterms:W3CDTF">2022-11-03T07:28:00Z</dcterms:created>
  <dcterms:modified xsi:type="dcterms:W3CDTF">2026-06-11T08:02:00Z</dcterms:modified>
</cp:coreProperties>
</file>