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B34" w:rsidRPr="00860228" w:rsidRDefault="00987B34" w:rsidP="00987B34">
      <w:pPr>
        <w:jc w:val="center"/>
        <w:rPr>
          <w:b/>
          <w:sz w:val="26"/>
          <w:szCs w:val="26"/>
        </w:rPr>
      </w:pPr>
      <w:r w:rsidRPr="00860228">
        <w:rPr>
          <w:b/>
          <w:sz w:val="26"/>
          <w:szCs w:val="26"/>
        </w:rPr>
        <w:t xml:space="preserve">Обґрунтування технічних та якісних характеристик </w:t>
      </w:r>
    </w:p>
    <w:p w:rsidR="00987B34" w:rsidRPr="00860228" w:rsidRDefault="00987B34" w:rsidP="00987B34">
      <w:pPr>
        <w:jc w:val="center"/>
        <w:rPr>
          <w:b/>
          <w:sz w:val="26"/>
          <w:szCs w:val="26"/>
        </w:rPr>
      </w:pPr>
      <w:r w:rsidRPr="00860228">
        <w:rPr>
          <w:b/>
          <w:sz w:val="26"/>
          <w:szCs w:val="26"/>
        </w:rPr>
        <w:t>предмета закупівлі, розміру бюджетного призначення, очікуваної вартості предмета закупівлі</w:t>
      </w:r>
    </w:p>
    <w:p w:rsidR="00987B34" w:rsidRDefault="00987B34" w:rsidP="00987B34">
      <w:pPr>
        <w:contextualSpacing/>
        <w:jc w:val="center"/>
        <w:rPr>
          <w:sz w:val="26"/>
          <w:szCs w:val="26"/>
          <w:lang w:val="ru-RU"/>
        </w:rPr>
      </w:pPr>
      <w:r w:rsidRPr="00860228">
        <w:rPr>
          <w:sz w:val="26"/>
          <w:szCs w:val="26"/>
        </w:rPr>
        <w:t>(відповідно до пункту 4</w:t>
      </w:r>
      <w:r w:rsidRPr="00860228">
        <w:rPr>
          <w:sz w:val="26"/>
          <w:szCs w:val="26"/>
          <w:vertAlign w:val="superscript"/>
        </w:rPr>
        <w:t xml:space="preserve">1 </w:t>
      </w:r>
      <w:r w:rsidRPr="00860228">
        <w:rPr>
          <w:sz w:val="26"/>
          <w:szCs w:val="26"/>
        </w:rPr>
        <w:t xml:space="preserve">постанови Кабінету Міністрів України від 11 жовтня </w:t>
      </w:r>
      <w:r w:rsidRPr="00860228">
        <w:rPr>
          <w:sz w:val="26"/>
          <w:szCs w:val="26"/>
        </w:rPr>
        <w:br/>
        <w:t>2016 року № 710 «Про ефективне використання державних коштів»</w:t>
      </w:r>
      <w:r w:rsidRPr="00860228">
        <w:rPr>
          <w:sz w:val="26"/>
          <w:szCs w:val="26"/>
          <w:lang w:val="ru-RU"/>
        </w:rPr>
        <w:t>)</w:t>
      </w:r>
    </w:p>
    <w:tbl>
      <w:tblPr>
        <w:tblpPr w:leftFromText="180" w:rightFromText="180" w:vertAnchor="text" w:horzAnchor="margin" w:tblpX="250" w:tblpY="138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079"/>
        <w:gridCol w:w="7277"/>
      </w:tblGrid>
      <w:tr w:rsidR="0068055B" w:rsidRPr="00773E6A" w:rsidTr="0068055B">
        <w:trPr>
          <w:trHeight w:val="652"/>
        </w:trPr>
        <w:tc>
          <w:tcPr>
            <w:tcW w:w="425" w:type="dxa"/>
            <w:vAlign w:val="center"/>
          </w:tcPr>
          <w:p w:rsidR="0068055B" w:rsidRPr="0068055B" w:rsidRDefault="0068055B" w:rsidP="0068055B">
            <w:pPr>
              <w:jc w:val="center"/>
              <w:rPr>
                <w:bCs/>
                <w:color w:val="000000"/>
                <w:spacing w:val="-10"/>
              </w:rPr>
            </w:pPr>
            <w:r w:rsidRPr="0068055B">
              <w:rPr>
                <w:bCs/>
                <w:color w:val="000000"/>
                <w:spacing w:val="-10"/>
              </w:rPr>
              <w:t>1</w:t>
            </w:r>
          </w:p>
        </w:tc>
        <w:tc>
          <w:tcPr>
            <w:tcW w:w="2079" w:type="dxa"/>
            <w:vAlign w:val="center"/>
          </w:tcPr>
          <w:p w:rsidR="0068055B" w:rsidRPr="0068055B" w:rsidRDefault="0068055B" w:rsidP="0068055B">
            <w:pPr>
              <w:rPr>
                <w:bCs/>
                <w:color w:val="000000"/>
                <w:spacing w:val="-10"/>
              </w:rPr>
            </w:pPr>
            <w:r w:rsidRPr="0068055B">
              <w:rPr>
                <w:bCs/>
                <w:color w:val="000000"/>
                <w:spacing w:val="-10"/>
              </w:rPr>
              <w:t>Назва предмета закупівлі</w:t>
            </w:r>
          </w:p>
        </w:tc>
        <w:tc>
          <w:tcPr>
            <w:tcW w:w="7277" w:type="dxa"/>
            <w:vAlign w:val="center"/>
          </w:tcPr>
          <w:p w:rsidR="0068055B" w:rsidRPr="0068055B" w:rsidRDefault="0068055B" w:rsidP="0068055B">
            <w:pPr>
              <w:jc w:val="both"/>
              <w:rPr>
                <w:color w:val="000000"/>
                <w:spacing w:val="-10"/>
              </w:rPr>
            </w:pPr>
            <w:bookmarkStart w:id="0" w:name="_Hlk225500353"/>
            <w:r w:rsidRPr="0068055B">
              <w:t xml:space="preserve">Технічне обслуговування і ремонт офісної техніки – </w:t>
            </w:r>
            <w:r w:rsidRPr="0068055B">
              <w:br/>
              <w:t>за кодом ДК 021:2015  – 50310000-1 (Послуги з перезарядки картриджів)</w:t>
            </w:r>
            <w:bookmarkEnd w:id="0"/>
            <w:r w:rsidRPr="0068055B">
              <w:t xml:space="preserve"> (ідентифікатор закупівлі: UA-2026-04-15-013289-a)</w:t>
            </w:r>
          </w:p>
        </w:tc>
      </w:tr>
      <w:tr w:rsidR="0068055B" w:rsidRPr="00773E6A" w:rsidTr="0068055B">
        <w:trPr>
          <w:trHeight w:val="3541"/>
        </w:trPr>
        <w:tc>
          <w:tcPr>
            <w:tcW w:w="425" w:type="dxa"/>
            <w:vAlign w:val="center"/>
          </w:tcPr>
          <w:p w:rsidR="0068055B" w:rsidRPr="0068055B" w:rsidRDefault="0068055B" w:rsidP="0068055B">
            <w:pPr>
              <w:jc w:val="center"/>
              <w:rPr>
                <w:bCs/>
                <w:color w:val="000000"/>
                <w:spacing w:val="-10"/>
              </w:rPr>
            </w:pPr>
            <w:r w:rsidRPr="0068055B">
              <w:rPr>
                <w:bCs/>
                <w:color w:val="000000"/>
                <w:spacing w:val="-10"/>
              </w:rPr>
              <w:t>2</w:t>
            </w:r>
          </w:p>
        </w:tc>
        <w:tc>
          <w:tcPr>
            <w:tcW w:w="2079" w:type="dxa"/>
            <w:vAlign w:val="center"/>
          </w:tcPr>
          <w:p w:rsidR="0068055B" w:rsidRPr="0068055B" w:rsidRDefault="0068055B" w:rsidP="0068055B">
            <w:pPr>
              <w:rPr>
                <w:bCs/>
                <w:color w:val="000000"/>
                <w:spacing w:val="-10"/>
              </w:rPr>
            </w:pPr>
            <w:r w:rsidRPr="0068055B">
              <w:rPr>
                <w:bCs/>
                <w:color w:val="000000"/>
                <w:spacing w:val="-10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277" w:type="dxa"/>
            <w:vAlign w:val="center"/>
          </w:tcPr>
          <w:p w:rsidR="0068055B" w:rsidRPr="0068055B" w:rsidRDefault="0068055B" w:rsidP="0068055B">
            <w:pPr>
              <w:ind w:firstLine="34"/>
              <w:jc w:val="both"/>
              <w:rPr>
                <w:color w:val="000000"/>
              </w:rPr>
            </w:pPr>
            <w:r w:rsidRPr="0068055B">
              <w:rPr>
                <w:color w:val="000000"/>
              </w:rPr>
              <w:t xml:space="preserve">Для забезпечення протягом 2026 року функціонування у Державній податковій службі України сервісу друку, копіювання та сканування документів, відповідно до вимог </w:t>
            </w:r>
            <w:r w:rsidR="00346212">
              <w:rPr>
                <w:color w:val="000000"/>
              </w:rPr>
              <w:t>І</w:t>
            </w:r>
            <w:r w:rsidRPr="0068055B">
              <w:rPr>
                <w:color w:val="000000"/>
              </w:rPr>
              <w:t xml:space="preserve">нструкції з діловодства </w:t>
            </w:r>
            <w:r w:rsidR="00542194">
              <w:rPr>
                <w:color w:val="000000"/>
              </w:rPr>
              <w:br/>
            </w:r>
            <w:r w:rsidRPr="0068055B">
              <w:rPr>
                <w:color w:val="000000"/>
              </w:rPr>
              <w:t xml:space="preserve">у Державній податковій службі України, планується </w:t>
            </w:r>
            <w:r w:rsidRPr="0068055B">
              <w:rPr>
                <w:color w:val="000000"/>
                <w:lang w:eastAsia="uk-UA"/>
              </w:rPr>
              <w:t xml:space="preserve">придбати послуги </w:t>
            </w:r>
            <w:r w:rsidRPr="0068055B">
              <w:rPr>
                <w:color w:val="000000"/>
              </w:rPr>
              <w:t>з перезарядки картриджів до друкувальної техніки (багатофункціональних пристроїв), які використовуються у ДПС (</w:t>
            </w:r>
            <w:r w:rsidRPr="0068055B">
              <w:rPr>
                <w:color w:val="000000"/>
                <w:lang w:eastAsia="uk-UA"/>
              </w:rPr>
              <w:t xml:space="preserve">БФП </w:t>
            </w:r>
            <w:proofErr w:type="spellStart"/>
            <w:r w:rsidRPr="0068055B">
              <w:rPr>
                <w:color w:val="000000"/>
                <w:lang w:eastAsia="uk-UA"/>
              </w:rPr>
              <w:t>Xerox</w:t>
            </w:r>
            <w:proofErr w:type="spellEnd"/>
            <w:r w:rsidRPr="0068055B">
              <w:rPr>
                <w:color w:val="000000"/>
                <w:lang w:eastAsia="uk-UA"/>
              </w:rPr>
              <w:t xml:space="preserve"> </w:t>
            </w:r>
            <w:proofErr w:type="spellStart"/>
            <w:r w:rsidRPr="0068055B">
              <w:rPr>
                <w:color w:val="000000"/>
                <w:lang w:eastAsia="uk-UA"/>
              </w:rPr>
              <w:t>WorkCentre</w:t>
            </w:r>
            <w:proofErr w:type="spellEnd"/>
            <w:r w:rsidRPr="0068055B">
              <w:rPr>
                <w:color w:val="000000"/>
                <w:lang w:eastAsia="uk-UA"/>
              </w:rPr>
              <w:t xml:space="preserve"> 3345, БФП </w:t>
            </w:r>
            <w:proofErr w:type="spellStart"/>
            <w:r w:rsidRPr="0068055B">
              <w:rPr>
                <w:color w:val="000000"/>
                <w:lang w:eastAsia="uk-UA"/>
              </w:rPr>
              <w:t>Canon</w:t>
            </w:r>
            <w:proofErr w:type="spellEnd"/>
            <w:r w:rsidRPr="0068055B">
              <w:rPr>
                <w:color w:val="000000"/>
                <w:lang w:eastAsia="uk-UA"/>
              </w:rPr>
              <w:t xml:space="preserve"> IR 1643i, БФП </w:t>
            </w:r>
            <w:proofErr w:type="spellStart"/>
            <w:r w:rsidRPr="0068055B">
              <w:rPr>
                <w:color w:val="000000"/>
                <w:lang w:eastAsia="uk-UA"/>
              </w:rPr>
              <w:t>Samsung</w:t>
            </w:r>
            <w:proofErr w:type="spellEnd"/>
            <w:r w:rsidRPr="0068055B">
              <w:rPr>
                <w:color w:val="000000"/>
                <w:lang w:eastAsia="uk-UA"/>
              </w:rPr>
              <w:t xml:space="preserve"> SCX-4655FN та БФП </w:t>
            </w:r>
            <w:proofErr w:type="spellStart"/>
            <w:r w:rsidRPr="0068055B">
              <w:rPr>
                <w:color w:val="000000"/>
                <w:lang w:eastAsia="uk-UA"/>
              </w:rPr>
              <w:t>Samsung</w:t>
            </w:r>
            <w:proofErr w:type="spellEnd"/>
            <w:r w:rsidRPr="0068055B">
              <w:rPr>
                <w:color w:val="000000"/>
                <w:lang w:eastAsia="uk-UA"/>
              </w:rPr>
              <w:t xml:space="preserve"> SL-M3870FD/XEV, HP </w:t>
            </w:r>
            <w:proofErr w:type="spellStart"/>
            <w:r w:rsidRPr="0068055B">
              <w:rPr>
                <w:color w:val="000000"/>
                <w:lang w:eastAsia="uk-UA"/>
              </w:rPr>
              <w:t>LaserJet</w:t>
            </w:r>
            <w:proofErr w:type="spellEnd"/>
            <w:r w:rsidRPr="0068055B">
              <w:rPr>
                <w:color w:val="000000"/>
                <w:lang w:eastAsia="uk-UA"/>
              </w:rPr>
              <w:t xml:space="preserve"> </w:t>
            </w:r>
            <w:proofErr w:type="spellStart"/>
            <w:r w:rsidRPr="0068055B">
              <w:rPr>
                <w:color w:val="000000"/>
                <w:lang w:eastAsia="uk-UA"/>
              </w:rPr>
              <w:t>Enterprise</w:t>
            </w:r>
            <w:proofErr w:type="spellEnd"/>
            <w:r w:rsidRPr="0068055B">
              <w:rPr>
                <w:color w:val="000000"/>
                <w:lang w:eastAsia="uk-UA"/>
              </w:rPr>
              <w:t xml:space="preserve"> M430f) </w:t>
            </w:r>
            <w:r w:rsidRPr="0068055B">
              <w:rPr>
                <w:color w:val="000000"/>
              </w:rPr>
              <w:t>у кількості 1400 штук</w:t>
            </w:r>
            <w:r w:rsidRPr="0068055B">
              <w:rPr>
                <w:color w:val="000000"/>
                <w:lang w:eastAsia="uk-UA"/>
              </w:rPr>
              <w:t>. Зазначену потребу обчислено з урахуванням: наявних запасів оборотних картриджів; коефіцієнту середньорічного забезпечення кожної одиниці друкувальної техніки чотирма заправленими картриджами.</w:t>
            </w:r>
          </w:p>
        </w:tc>
      </w:tr>
      <w:tr w:rsidR="0068055B" w:rsidRPr="00773E6A" w:rsidTr="0068055B">
        <w:trPr>
          <w:trHeight w:val="2400"/>
        </w:trPr>
        <w:tc>
          <w:tcPr>
            <w:tcW w:w="425" w:type="dxa"/>
            <w:vAlign w:val="center"/>
          </w:tcPr>
          <w:p w:rsidR="0068055B" w:rsidRPr="0068055B" w:rsidRDefault="0068055B" w:rsidP="0068055B">
            <w:pPr>
              <w:jc w:val="center"/>
              <w:rPr>
                <w:bCs/>
                <w:color w:val="000000"/>
                <w:spacing w:val="-10"/>
              </w:rPr>
            </w:pPr>
            <w:r w:rsidRPr="0068055B">
              <w:rPr>
                <w:bCs/>
                <w:color w:val="000000"/>
                <w:spacing w:val="-10"/>
              </w:rPr>
              <w:t>3</w:t>
            </w:r>
          </w:p>
        </w:tc>
        <w:tc>
          <w:tcPr>
            <w:tcW w:w="2079" w:type="dxa"/>
            <w:vAlign w:val="center"/>
          </w:tcPr>
          <w:p w:rsidR="0068055B" w:rsidRPr="0068055B" w:rsidRDefault="0068055B" w:rsidP="0068055B">
            <w:pPr>
              <w:rPr>
                <w:bCs/>
                <w:color w:val="000000"/>
                <w:spacing w:val="-10"/>
              </w:rPr>
            </w:pPr>
            <w:r w:rsidRPr="0068055B">
              <w:rPr>
                <w:bCs/>
                <w:color w:val="000000"/>
                <w:spacing w:val="-10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277" w:type="dxa"/>
            <w:vAlign w:val="center"/>
          </w:tcPr>
          <w:p w:rsidR="0068055B" w:rsidRPr="0068055B" w:rsidRDefault="0068055B" w:rsidP="0068055B">
            <w:pPr>
              <w:jc w:val="both"/>
              <w:rPr>
                <w:color w:val="000000"/>
                <w:spacing w:val="-10"/>
              </w:rPr>
            </w:pPr>
            <w:r w:rsidRPr="0068055B">
              <w:rPr>
                <w:color w:val="000000"/>
                <w:spacing w:val="-10"/>
              </w:rPr>
              <w:t xml:space="preserve">Розрахунок очікуваної вартості предмета закупівлі було складено </w:t>
            </w:r>
            <w:r>
              <w:rPr>
                <w:color w:val="000000"/>
                <w:spacing w:val="-10"/>
              </w:rPr>
              <w:br/>
            </w:r>
            <w:r w:rsidRPr="0068055B">
              <w:rPr>
                <w:color w:val="000000"/>
                <w:spacing w:val="-10"/>
              </w:rPr>
              <w:t xml:space="preserve">з урахуванням рекомендацій Примірної методики визначення очікуваної вартості предмета закупівлі, затвердженої наказом Мінекономіки </w:t>
            </w:r>
            <w:r>
              <w:rPr>
                <w:color w:val="000000"/>
                <w:spacing w:val="-10"/>
              </w:rPr>
              <w:br/>
            </w:r>
            <w:r w:rsidRPr="0068055B">
              <w:rPr>
                <w:color w:val="000000"/>
                <w:spacing w:val="-10"/>
              </w:rPr>
              <w:t xml:space="preserve">від 18.02.2020 № 275 (зі змінами), </w:t>
            </w:r>
            <w:r w:rsidRPr="0068055B">
              <w:rPr>
                <w:spacing w:val="-10"/>
              </w:rPr>
              <w:t>зокрема використовуючи метод порівняння ринкових цін на такі послуги.</w:t>
            </w:r>
          </w:p>
          <w:p w:rsidR="0068055B" w:rsidRPr="0068055B" w:rsidRDefault="0068055B" w:rsidP="0068055B">
            <w:pPr>
              <w:pStyle w:val="rvps12"/>
              <w:shd w:val="clear" w:color="auto" w:fill="FFFFFF"/>
              <w:spacing w:before="0" w:beforeAutospacing="0" w:after="0" w:afterAutospacing="0"/>
              <w:ind w:right="57"/>
              <w:jc w:val="both"/>
              <w:rPr>
                <w:spacing w:val="-10"/>
                <w:lang w:eastAsia="ru-RU"/>
              </w:rPr>
            </w:pPr>
            <w:r w:rsidRPr="0068055B">
              <w:rPr>
                <w:spacing w:val="-10"/>
                <w:lang w:eastAsia="ru-RU"/>
              </w:rPr>
              <w:t xml:space="preserve">Визначили очікувану ціну за одиницю як середньоарифметичне значення масиву отриманих даних, а саме: інформації про ціни послуг, що міститься в мережі Інтернет у відкритому доступі, </w:t>
            </w:r>
            <w:r w:rsidR="00346212">
              <w:rPr>
                <w:spacing w:val="-10"/>
                <w:lang w:eastAsia="ru-RU"/>
              </w:rPr>
              <w:t>у</w:t>
            </w:r>
            <w:r w:rsidRPr="0068055B">
              <w:rPr>
                <w:spacing w:val="-10"/>
                <w:lang w:eastAsia="ru-RU"/>
              </w:rPr>
              <w:t xml:space="preserve"> тому числі на сай</w:t>
            </w:r>
            <w:bookmarkStart w:id="1" w:name="_GoBack"/>
            <w:bookmarkEnd w:id="1"/>
            <w:r w:rsidRPr="0068055B">
              <w:rPr>
                <w:spacing w:val="-10"/>
                <w:lang w:eastAsia="ru-RU"/>
              </w:rPr>
              <w:t>тах постачальників відповідних послуг, за формулою:</w:t>
            </w:r>
          </w:p>
          <w:p w:rsidR="0068055B" w:rsidRPr="0068055B" w:rsidRDefault="0068055B" w:rsidP="0068055B">
            <w:pPr>
              <w:pStyle w:val="rvps12"/>
              <w:shd w:val="clear" w:color="auto" w:fill="FFFFFF"/>
              <w:spacing w:before="0" w:beforeAutospacing="0" w:after="0" w:afterAutospacing="0"/>
              <w:ind w:right="57"/>
              <w:jc w:val="both"/>
              <w:rPr>
                <w:spacing w:val="-10"/>
                <w:lang w:eastAsia="ru-RU"/>
              </w:rPr>
            </w:pPr>
          </w:p>
          <w:p w:rsidR="0068055B" w:rsidRPr="0068055B" w:rsidRDefault="0068055B" w:rsidP="0068055B">
            <w:pPr>
              <w:shd w:val="clear" w:color="auto" w:fill="FFFFFF"/>
              <w:ind w:left="57" w:right="57"/>
              <w:jc w:val="center"/>
              <w:rPr>
                <w:b/>
                <w:bCs/>
                <w:lang w:eastAsia="uk-UA"/>
              </w:rPr>
            </w:pPr>
            <w:proofErr w:type="spellStart"/>
            <w:r w:rsidRPr="0068055B">
              <w:rPr>
                <w:b/>
                <w:bCs/>
                <w:lang w:eastAsia="uk-UA"/>
              </w:rPr>
              <w:t>Ц</w:t>
            </w:r>
            <w:r w:rsidRPr="0068055B">
              <w:rPr>
                <w:b/>
                <w:bCs/>
                <w:vertAlign w:val="subscript"/>
                <w:lang w:eastAsia="uk-UA"/>
              </w:rPr>
              <w:t>од</w:t>
            </w:r>
            <w:proofErr w:type="spellEnd"/>
            <w:r w:rsidRPr="0068055B">
              <w:rPr>
                <w:lang w:eastAsia="uk-UA"/>
              </w:rPr>
              <w:t> </w:t>
            </w:r>
            <w:r w:rsidRPr="0068055B">
              <w:rPr>
                <w:b/>
                <w:bCs/>
                <w:lang w:eastAsia="uk-UA"/>
              </w:rPr>
              <w:t>= (Ц</w:t>
            </w:r>
            <w:r w:rsidRPr="0068055B">
              <w:rPr>
                <w:b/>
                <w:bCs/>
                <w:vertAlign w:val="subscript"/>
                <w:lang w:eastAsia="uk-UA"/>
              </w:rPr>
              <w:t>1</w:t>
            </w:r>
            <w:r w:rsidRPr="0068055B">
              <w:rPr>
                <w:lang w:eastAsia="uk-UA"/>
              </w:rPr>
              <w:t> </w:t>
            </w:r>
            <w:r w:rsidRPr="0068055B">
              <w:rPr>
                <w:b/>
                <w:bCs/>
                <w:lang w:eastAsia="uk-UA"/>
              </w:rPr>
              <w:t xml:space="preserve">+… + </w:t>
            </w:r>
            <w:proofErr w:type="spellStart"/>
            <w:r w:rsidRPr="0068055B">
              <w:rPr>
                <w:b/>
                <w:bCs/>
                <w:lang w:eastAsia="uk-UA"/>
              </w:rPr>
              <w:t>Ц</w:t>
            </w:r>
            <w:r w:rsidRPr="0068055B">
              <w:rPr>
                <w:b/>
                <w:bCs/>
                <w:vertAlign w:val="subscript"/>
                <w:lang w:eastAsia="uk-UA"/>
              </w:rPr>
              <w:t>к</w:t>
            </w:r>
            <w:proofErr w:type="spellEnd"/>
            <w:r w:rsidRPr="0068055B">
              <w:rPr>
                <w:b/>
                <w:bCs/>
                <w:lang w:eastAsia="uk-UA"/>
              </w:rPr>
              <w:t>) / К,</w:t>
            </w:r>
          </w:p>
          <w:tbl>
            <w:tblPr>
              <w:tblW w:w="7206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0"/>
              <w:gridCol w:w="662"/>
              <w:gridCol w:w="50"/>
              <w:gridCol w:w="5984"/>
            </w:tblGrid>
            <w:tr w:rsidR="0068055B" w:rsidRPr="0068055B" w:rsidTr="00EE4DDB">
              <w:tc>
                <w:tcPr>
                  <w:tcW w:w="510" w:type="dxa"/>
                  <w:hideMark/>
                </w:tcPr>
                <w:p w:rsidR="0068055B" w:rsidRPr="0068055B" w:rsidRDefault="0068055B" w:rsidP="00EB39E2">
                  <w:pPr>
                    <w:framePr w:hSpace="180" w:wrap="around" w:vAnchor="text" w:hAnchor="margin" w:x="250" w:y="138"/>
                    <w:ind w:left="57" w:right="57"/>
                    <w:rPr>
                      <w:lang w:eastAsia="uk-UA"/>
                    </w:rPr>
                  </w:pPr>
                  <w:bookmarkStart w:id="2" w:name="n61"/>
                  <w:bookmarkEnd w:id="2"/>
                  <w:r w:rsidRPr="0068055B">
                    <w:rPr>
                      <w:lang w:eastAsia="uk-UA"/>
                    </w:rPr>
                    <w:t>де:</w:t>
                  </w:r>
                </w:p>
              </w:tc>
              <w:tc>
                <w:tcPr>
                  <w:tcW w:w="662" w:type="dxa"/>
                  <w:hideMark/>
                </w:tcPr>
                <w:p w:rsidR="0068055B" w:rsidRPr="0068055B" w:rsidRDefault="0068055B" w:rsidP="00EB39E2">
                  <w:pPr>
                    <w:framePr w:hSpace="180" w:wrap="around" w:vAnchor="text" w:hAnchor="margin" w:x="250" w:y="138"/>
                    <w:ind w:left="57" w:right="57"/>
                    <w:rPr>
                      <w:lang w:eastAsia="uk-UA"/>
                    </w:rPr>
                  </w:pPr>
                  <w:proofErr w:type="spellStart"/>
                  <w:r w:rsidRPr="0068055B">
                    <w:rPr>
                      <w:b/>
                      <w:bCs/>
                      <w:lang w:eastAsia="uk-UA"/>
                    </w:rPr>
                    <w:t>Ц</w:t>
                  </w:r>
                  <w:r w:rsidRPr="0068055B">
                    <w:rPr>
                      <w:b/>
                      <w:bCs/>
                      <w:vertAlign w:val="subscript"/>
                      <w:lang w:eastAsia="uk-UA"/>
                    </w:rPr>
                    <w:t>од</w:t>
                  </w:r>
                  <w:proofErr w:type="spellEnd"/>
                </w:p>
              </w:tc>
              <w:tc>
                <w:tcPr>
                  <w:tcW w:w="50" w:type="dxa"/>
                  <w:hideMark/>
                </w:tcPr>
                <w:p w:rsidR="0068055B" w:rsidRPr="0068055B" w:rsidRDefault="0068055B" w:rsidP="00EB39E2">
                  <w:pPr>
                    <w:framePr w:hSpace="180" w:wrap="around" w:vAnchor="text" w:hAnchor="margin" w:x="250" w:y="138"/>
                    <w:ind w:left="57" w:right="57"/>
                    <w:jc w:val="center"/>
                    <w:rPr>
                      <w:lang w:eastAsia="uk-UA"/>
                    </w:rPr>
                  </w:pPr>
                  <w:r w:rsidRPr="0068055B">
                    <w:rPr>
                      <w:lang w:eastAsia="uk-UA"/>
                    </w:rPr>
                    <w:t>-</w:t>
                  </w:r>
                </w:p>
              </w:tc>
              <w:tc>
                <w:tcPr>
                  <w:tcW w:w="5984" w:type="dxa"/>
                  <w:hideMark/>
                </w:tcPr>
                <w:p w:rsidR="0068055B" w:rsidRPr="0068055B" w:rsidRDefault="0068055B" w:rsidP="00EB39E2">
                  <w:pPr>
                    <w:framePr w:hSpace="180" w:wrap="around" w:vAnchor="text" w:hAnchor="margin" w:x="250" w:y="138"/>
                    <w:ind w:left="57" w:right="57"/>
                    <w:rPr>
                      <w:lang w:eastAsia="uk-UA"/>
                    </w:rPr>
                  </w:pPr>
                  <w:r w:rsidRPr="0068055B">
                    <w:rPr>
                      <w:lang w:eastAsia="uk-UA"/>
                    </w:rPr>
                    <w:t>очікувана ціна за одиницю;</w:t>
                  </w:r>
                </w:p>
              </w:tc>
            </w:tr>
            <w:tr w:rsidR="0068055B" w:rsidRPr="0068055B" w:rsidTr="00EE4DDB">
              <w:tc>
                <w:tcPr>
                  <w:tcW w:w="510" w:type="dxa"/>
                  <w:tcBorders>
                    <w:bottom w:val="nil"/>
                  </w:tcBorders>
                  <w:hideMark/>
                </w:tcPr>
                <w:p w:rsidR="0068055B" w:rsidRPr="0068055B" w:rsidRDefault="0068055B" w:rsidP="00EB39E2">
                  <w:pPr>
                    <w:framePr w:hSpace="180" w:wrap="around" w:vAnchor="text" w:hAnchor="margin" w:x="250" w:y="138"/>
                    <w:ind w:left="57" w:right="57"/>
                    <w:rPr>
                      <w:lang w:eastAsia="uk-UA"/>
                    </w:rPr>
                  </w:pPr>
                </w:p>
              </w:tc>
              <w:tc>
                <w:tcPr>
                  <w:tcW w:w="662" w:type="dxa"/>
                  <w:tcBorders>
                    <w:bottom w:val="nil"/>
                  </w:tcBorders>
                  <w:hideMark/>
                </w:tcPr>
                <w:p w:rsidR="0068055B" w:rsidRPr="0068055B" w:rsidRDefault="0068055B" w:rsidP="00EB39E2">
                  <w:pPr>
                    <w:framePr w:hSpace="180" w:wrap="around" w:vAnchor="text" w:hAnchor="margin" w:x="250" w:y="138"/>
                    <w:ind w:left="57" w:right="57"/>
                    <w:rPr>
                      <w:lang w:eastAsia="uk-UA"/>
                    </w:rPr>
                  </w:pPr>
                  <w:r w:rsidRPr="0068055B">
                    <w:rPr>
                      <w:b/>
                      <w:bCs/>
                      <w:lang w:eastAsia="uk-UA"/>
                    </w:rPr>
                    <w:t>Ц</w:t>
                  </w:r>
                  <w:r w:rsidRPr="0068055B">
                    <w:rPr>
                      <w:b/>
                      <w:bCs/>
                      <w:vertAlign w:val="subscript"/>
                      <w:lang w:eastAsia="uk-UA"/>
                    </w:rPr>
                    <w:t>1</w:t>
                  </w:r>
                  <w:r w:rsidRPr="0068055B">
                    <w:rPr>
                      <w:lang w:eastAsia="uk-UA"/>
                    </w:rPr>
                    <w:t xml:space="preserve">, </w:t>
                  </w:r>
                  <w:proofErr w:type="spellStart"/>
                  <w:r w:rsidRPr="0068055B">
                    <w:rPr>
                      <w:b/>
                      <w:bCs/>
                      <w:lang w:eastAsia="uk-UA"/>
                    </w:rPr>
                    <w:t>Ц</w:t>
                  </w:r>
                  <w:r w:rsidRPr="0068055B">
                    <w:rPr>
                      <w:b/>
                      <w:bCs/>
                      <w:vertAlign w:val="subscript"/>
                      <w:lang w:eastAsia="uk-UA"/>
                    </w:rPr>
                    <w:t>к</w:t>
                  </w:r>
                  <w:proofErr w:type="spellEnd"/>
                </w:p>
              </w:tc>
              <w:tc>
                <w:tcPr>
                  <w:tcW w:w="50" w:type="dxa"/>
                  <w:tcBorders>
                    <w:bottom w:val="nil"/>
                  </w:tcBorders>
                  <w:hideMark/>
                </w:tcPr>
                <w:p w:rsidR="0068055B" w:rsidRPr="0068055B" w:rsidRDefault="0068055B" w:rsidP="00EB39E2">
                  <w:pPr>
                    <w:framePr w:hSpace="180" w:wrap="around" w:vAnchor="text" w:hAnchor="margin" w:x="250" w:y="138"/>
                    <w:ind w:left="57" w:right="57"/>
                    <w:jc w:val="center"/>
                    <w:rPr>
                      <w:lang w:eastAsia="uk-UA"/>
                    </w:rPr>
                  </w:pPr>
                  <w:r w:rsidRPr="0068055B">
                    <w:rPr>
                      <w:lang w:eastAsia="uk-UA"/>
                    </w:rPr>
                    <w:t>-</w:t>
                  </w:r>
                </w:p>
              </w:tc>
              <w:tc>
                <w:tcPr>
                  <w:tcW w:w="5984" w:type="dxa"/>
                  <w:tcBorders>
                    <w:bottom w:val="nil"/>
                  </w:tcBorders>
                  <w:hideMark/>
                </w:tcPr>
                <w:p w:rsidR="0068055B" w:rsidRPr="0068055B" w:rsidRDefault="0068055B" w:rsidP="00EB39E2">
                  <w:pPr>
                    <w:framePr w:hSpace="180" w:wrap="around" w:vAnchor="text" w:hAnchor="margin" w:x="250" w:y="138"/>
                    <w:ind w:left="57" w:right="57" w:hanging="123"/>
                    <w:rPr>
                      <w:lang w:eastAsia="uk-UA"/>
                    </w:rPr>
                  </w:pPr>
                  <w:r w:rsidRPr="0068055B">
                    <w:rPr>
                      <w:lang w:eastAsia="uk-UA"/>
                    </w:rPr>
                    <w:t xml:space="preserve">  ціни, отримані з відкритих джерел інформації, приведені до єдиних умов;</w:t>
                  </w:r>
                </w:p>
              </w:tc>
            </w:tr>
            <w:tr w:rsidR="0068055B" w:rsidRPr="0068055B" w:rsidTr="00EE4DDB">
              <w:tc>
                <w:tcPr>
                  <w:tcW w:w="510" w:type="dxa"/>
                  <w:tcBorders>
                    <w:bottom w:val="nil"/>
                  </w:tcBorders>
                  <w:hideMark/>
                </w:tcPr>
                <w:p w:rsidR="0068055B" w:rsidRPr="0068055B" w:rsidRDefault="0068055B" w:rsidP="00EB39E2">
                  <w:pPr>
                    <w:framePr w:hSpace="180" w:wrap="around" w:vAnchor="text" w:hAnchor="margin" w:x="250" w:y="138"/>
                    <w:ind w:left="57" w:right="57"/>
                    <w:rPr>
                      <w:lang w:eastAsia="uk-UA"/>
                    </w:rPr>
                  </w:pPr>
                </w:p>
              </w:tc>
              <w:tc>
                <w:tcPr>
                  <w:tcW w:w="662" w:type="dxa"/>
                  <w:tcBorders>
                    <w:bottom w:val="nil"/>
                  </w:tcBorders>
                  <w:hideMark/>
                </w:tcPr>
                <w:p w:rsidR="0068055B" w:rsidRPr="0068055B" w:rsidRDefault="0068055B" w:rsidP="00EB39E2">
                  <w:pPr>
                    <w:framePr w:hSpace="180" w:wrap="around" w:vAnchor="text" w:hAnchor="margin" w:x="250" w:y="138"/>
                    <w:ind w:left="57" w:right="57"/>
                    <w:rPr>
                      <w:lang w:eastAsia="uk-UA"/>
                    </w:rPr>
                  </w:pPr>
                  <w:r w:rsidRPr="0068055B">
                    <w:rPr>
                      <w:b/>
                      <w:bCs/>
                      <w:lang w:eastAsia="uk-UA"/>
                    </w:rPr>
                    <w:t>К</w:t>
                  </w:r>
                </w:p>
              </w:tc>
              <w:tc>
                <w:tcPr>
                  <w:tcW w:w="50" w:type="dxa"/>
                  <w:tcBorders>
                    <w:bottom w:val="nil"/>
                  </w:tcBorders>
                  <w:hideMark/>
                </w:tcPr>
                <w:p w:rsidR="0068055B" w:rsidRPr="0068055B" w:rsidRDefault="0068055B" w:rsidP="00EB39E2">
                  <w:pPr>
                    <w:framePr w:hSpace="180" w:wrap="around" w:vAnchor="text" w:hAnchor="margin" w:x="250" w:y="138"/>
                    <w:ind w:left="57" w:right="57"/>
                    <w:jc w:val="center"/>
                    <w:rPr>
                      <w:lang w:eastAsia="uk-UA"/>
                    </w:rPr>
                  </w:pPr>
                  <w:r w:rsidRPr="0068055B">
                    <w:rPr>
                      <w:lang w:eastAsia="uk-UA"/>
                    </w:rPr>
                    <w:t>-</w:t>
                  </w:r>
                </w:p>
              </w:tc>
              <w:tc>
                <w:tcPr>
                  <w:tcW w:w="5984" w:type="dxa"/>
                  <w:tcBorders>
                    <w:bottom w:val="nil"/>
                  </w:tcBorders>
                  <w:hideMark/>
                </w:tcPr>
                <w:p w:rsidR="0068055B" w:rsidRPr="0068055B" w:rsidRDefault="0068055B" w:rsidP="00EB39E2">
                  <w:pPr>
                    <w:framePr w:hSpace="180" w:wrap="around" w:vAnchor="text" w:hAnchor="margin" w:x="250" w:y="138"/>
                    <w:ind w:left="57" w:right="57"/>
                    <w:rPr>
                      <w:lang w:eastAsia="uk-UA"/>
                    </w:rPr>
                  </w:pPr>
                  <w:r w:rsidRPr="0068055B">
                    <w:rPr>
                      <w:lang w:eastAsia="uk-UA"/>
                    </w:rPr>
                    <w:t>кількість цін, отриманих з відкритих джерел інформації;</w:t>
                  </w:r>
                </w:p>
              </w:tc>
            </w:tr>
          </w:tbl>
          <w:p w:rsidR="0068055B" w:rsidRPr="0068055B" w:rsidRDefault="0068055B" w:rsidP="0068055B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lang w:eastAsia="ru-RU"/>
              </w:rPr>
            </w:pPr>
          </w:p>
          <w:p w:rsidR="0068055B" w:rsidRPr="0068055B" w:rsidRDefault="0068055B" w:rsidP="0068055B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lang w:eastAsia="ru-RU"/>
              </w:rPr>
            </w:pPr>
            <w:r w:rsidRPr="0068055B">
              <w:rPr>
                <w:spacing w:val="-10"/>
                <w:lang w:eastAsia="ru-RU"/>
              </w:rPr>
              <w:t>Джерело інформації:</w:t>
            </w:r>
          </w:p>
          <w:p w:rsidR="0068055B" w:rsidRPr="0068055B" w:rsidRDefault="00EB39E2" w:rsidP="0068055B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</w:rPr>
            </w:pPr>
            <w:hyperlink r:id="rId5" w:history="1">
              <w:r w:rsidR="0068055B" w:rsidRPr="0068055B">
                <w:rPr>
                  <w:rStyle w:val="a7"/>
                  <w:color w:val="auto"/>
                  <w:spacing w:val="-10"/>
                </w:rPr>
                <w:t>https://patronservice.ua/zapravka-kartridzha-mlt-d117s-samsung-scx-4650n</w:t>
              </w:r>
            </w:hyperlink>
          </w:p>
          <w:p w:rsidR="0068055B" w:rsidRPr="0068055B" w:rsidRDefault="00EB39E2" w:rsidP="0068055B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</w:rPr>
            </w:pPr>
            <w:hyperlink r:id="rId6" w:history="1">
              <w:r w:rsidR="0068055B" w:rsidRPr="0068055B">
                <w:rPr>
                  <w:rStyle w:val="a7"/>
                  <w:color w:val="auto"/>
                  <w:spacing w:val="-10"/>
                </w:rPr>
                <w:t>https://patronservice.ua/zapravka-kartridzha-mlt-d203l-samsung-sl-m3870</w:t>
              </w:r>
            </w:hyperlink>
          </w:p>
          <w:p w:rsidR="0068055B" w:rsidRPr="0068055B" w:rsidRDefault="00EB39E2" w:rsidP="0068055B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</w:rPr>
            </w:pPr>
            <w:hyperlink r:id="rId7" w:history="1">
              <w:r w:rsidR="0068055B" w:rsidRPr="0068055B">
                <w:rPr>
                  <w:rStyle w:val="a7"/>
                  <w:color w:val="auto"/>
                  <w:spacing w:val="-10"/>
                </w:rPr>
                <w:t>https://patronservice.ua/vidnovlennya-kartridzha-samsung-mlt-d203l</w:t>
              </w:r>
            </w:hyperlink>
          </w:p>
          <w:p w:rsidR="0068055B" w:rsidRPr="0068055B" w:rsidRDefault="00EB39E2" w:rsidP="0068055B">
            <w:pPr>
              <w:rPr>
                <w:spacing w:val="-10"/>
                <w:lang w:eastAsia="uk-UA"/>
              </w:rPr>
            </w:pPr>
            <w:hyperlink r:id="rId8" w:history="1">
              <w:r w:rsidR="0068055B" w:rsidRPr="0068055B">
                <w:rPr>
                  <w:rStyle w:val="a7"/>
                  <w:color w:val="auto"/>
                  <w:spacing w:val="-10"/>
                  <w:lang w:eastAsia="uk-UA"/>
                </w:rPr>
                <w:t>https://patronservice.ua/zapravka-kartridzha-cf259x-hp-lj-pro-m304</w:t>
              </w:r>
            </w:hyperlink>
          </w:p>
          <w:p w:rsidR="0068055B" w:rsidRPr="0068055B" w:rsidRDefault="0068055B" w:rsidP="0068055B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lang w:eastAsia="ru-RU"/>
              </w:rPr>
            </w:pPr>
            <w:r w:rsidRPr="0068055B">
              <w:rPr>
                <w:spacing w:val="-10"/>
                <w:lang w:eastAsia="ru-RU"/>
              </w:rPr>
              <w:t xml:space="preserve">Визначення очікуваної вартості за одиницю послуг: </w:t>
            </w:r>
          </w:p>
          <w:p w:rsidR="0068055B" w:rsidRPr="0068055B" w:rsidRDefault="0068055B" w:rsidP="0068055B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</w:rPr>
            </w:pPr>
            <w:r w:rsidRPr="0068055B">
              <w:rPr>
                <w:spacing w:val="-10"/>
              </w:rPr>
              <w:t>(</w:t>
            </w:r>
            <w:r w:rsidRPr="0068055B">
              <w:rPr>
                <w:spacing w:val="-10"/>
                <w:lang w:val="ru-RU"/>
              </w:rPr>
              <w:t>260</w:t>
            </w:r>
            <w:r w:rsidRPr="0068055B">
              <w:rPr>
                <w:spacing w:val="-10"/>
              </w:rPr>
              <w:t xml:space="preserve">,00 грн + 318,00 грн + </w:t>
            </w:r>
            <w:r w:rsidRPr="0068055B">
              <w:rPr>
                <w:spacing w:val="-10"/>
                <w:lang w:val="ru-RU"/>
              </w:rPr>
              <w:t>534</w:t>
            </w:r>
            <w:r w:rsidRPr="0068055B">
              <w:rPr>
                <w:spacing w:val="-10"/>
              </w:rPr>
              <w:t xml:space="preserve">,00 грн + </w:t>
            </w:r>
            <w:r w:rsidRPr="0068055B">
              <w:rPr>
                <w:spacing w:val="-10"/>
                <w:lang w:val="ru-RU"/>
              </w:rPr>
              <w:t>551</w:t>
            </w:r>
            <w:r w:rsidRPr="0068055B">
              <w:rPr>
                <w:spacing w:val="-10"/>
              </w:rPr>
              <w:t>,00 грн)</w:t>
            </w:r>
            <w:r w:rsidRPr="0068055B">
              <w:rPr>
                <w:spacing w:val="-10"/>
                <w:lang w:val="ru-RU"/>
              </w:rPr>
              <w:t xml:space="preserve"> </w:t>
            </w:r>
            <w:r w:rsidRPr="0068055B">
              <w:rPr>
                <w:spacing w:val="-10"/>
              </w:rPr>
              <w:t>/</w:t>
            </w:r>
            <w:r w:rsidRPr="0068055B">
              <w:rPr>
                <w:spacing w:val="-10"/>
                <w:lang w:val="ru-RU"/>
              </w:rPr>
              <w:t xml:space="preserve"> </w:t>
            </w:r>
            <w:r w:rsidRPr="0068055B">
              <w:rPr>
                <w:spacing w:val="-10"/>
              </w:rPr>
              <w:t>4 шт. = 415,75 грн.</w:t>
            </w:r>
          </w:p>
          <w:p w:rsidR="0068055B" w:rsidRPr="0068055B" w:rsidRDefault="0068055B" w:rsidP="0068055B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</w:rPr>
            </w:pPr>
            <w:r w:rsidRPr="0068055B">
              <w:rPr>
                <w:spacing w:val="-10"/>
              </w:rPr>
              <w:t xml:space="preserve">Очікувана вартість послуг становить: 415,75 грн × 1400 шт. = </w:t>
            </w:r>
            <w:r w:rsidRPr="0068055B">
              <w:rPr>
                <w:spacing w:val="-10"/>
              </w:rPr>
              <w:br/>
              <w:t>582 050,00 гр</w:t>
            </w:r>
            <w:r w:rsidR="00557B41">
              <w:rPr>
                <w:spacing w:val="-10"/>
              </w:rPr>
              <w:t>ивень</w:t>
            </w:r>
            <w:r w:rsidRPr="0068055B">
              <w:rPr>
                <w:spacing w:val="-10"/>
              </w:rPr>
              <w:t>.</w:t>
            </w:r>
          </w:p>
          <w:p w:rsidR="0068055B" w:rsidRPr="0068055B" w:rsidRDefault="0068055B" w:rsidP="0068055B">
            <w:pPr>
              <w:jc w:val="both"/>
              <w:rPr>
                <w:color w:val="000000"/>
                <w:spacing w:val="-10"/>
              </w:rPr>
            </w:pPr>
          </w:p>
        </w:tc>
      </w:tr>
    </w:tbl>
    <w:p w:rsidR="00DB5B3D" w:rsidRDefault="00DB5B3D" w:rsidP="00987B34">
      <w:pPr>
        <w:contextualSpacing/>
        <w:jc w:val="center"/>
        <w:rPr>
          <w:sz w:val="26"/>
          <w:szCs w:val="26"/>
          <w:lang w:val="ru-RU"/>
        </w:rPr>
      </w:pPr>
    </w:p>
    <w:p w:rsidR="00030843" w:rsidRPr="0068055B" w:rsidRDefault="00030843" w:rsidP="00860228">
      <w:pPr>
        <w:rPr>
          <w:sz w:val="26"/>
          <w:szCs w:val="26"/>
        </w:rPr>
      </w:pPr>
      <w:bookmarkStart w:id="3" w:name="n87"/>
      <w:bookmarkStart w:id="4" w:name="n88"/>
      <w:bookmarkStart w:id="5" w:name="n89"/>
      <w:bookmarkStart w:id="6" w:name="n90"/>
      <w:bookmarkStart w:id="7" w:name="n91"/>
      <w:bookmarkStart w:id="8" w:name="n92"/>
      <w:bookmarkStart w:id="9" w:name="n101"/>
      <w:bookmarkStart w:id="10" w:name="n102"/>
      <w:bookmarkStart w:id="11" w:name="n103"/>
      <w:bookmarkStart w:id="12" w:name="n104"/>
      <w:bookmarkStart w:id="13" w:name="n105"/>
      <w:bookmarkStart w:id="14" w:name="n106"/>
      <w:bookmarkStart w:id="15" w:name="n115"/>
      <w:bookmarkStart w:id="16" w:name="n116"/>
      <w:bookmarkStart w:id="17" w:name="n117"/>
      <w:bookmarkStart w:id="18" w:name="n118"/>
      <w:bookmarkStart w:id="19" w:name="n119"/>
      <w:bookmarkStart w:id="20" w:name="n120"/>
      <w:bookmarkStart w:id="21" w:name="n121"/>
      <w:bookmarkStart w:id="22" w:name="n12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sectPr w:rsidR="00030843" w:rsidRPr="0068055B" w:rsidSect="00272C67">
      <w:pgSz w:w="11906" w:h="16838" w:code="9"/>
      <w:pgMar w:top="709" w:right="851" w:bottom="127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10664F"/>
    <w:multiLevelType w:val="hybridMultilevel"/>
    <w:tmpl w:val="497811E2"/>
    <w:lvl w:ilvl="0" w:tplc="2470266C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7AD1"/>
    <w:rsid w:val="00030843"/>
    <w:rsid w:val="000C1078"/>
    <w:rsid w:val="002563BF"/>
    <w:rsid w:val="00346212"/>
    <w:rsid w:val="003B41C5"/>
    <w:rsid w:val="004756A0"/>
    <w:rsid w:val="00497AD1"/>
    <w:rsid w:val="00542194"/>
    <w:rsid w:val="00557B41"/>
    <w:rsid w:val="00595713"/>
    <w:rsid w:val="0065310A"/>
    <w:rsid w:val="0068055B"/>
    <w:rsid w:val="006E4BDF"/>
    <w:rsid w:val="007136A9"/>
    <w:rsid w:val="00763DB9"/>
    <w:rsid w:val="007F4CEB"/>
    <w:rsid w:val="00846460"/>
    <w:rsid w:val="00860228"/>
    <w:rsid w:val="008A47F3"/>
    <w:rsid w:val="008E4D9B"/>
    <w:rsid w:val="00976788"/>
    <w:rsid w:val="00987B34"/>
    <w:rsid w:val="00A40C4F"/>
    <w:rsid w:val="00A65D35"/>
    <w:rsid w:val="00A84092"/>
    <w:rsid w:val="00AE2739"/>
    <w:rsid w:val="00B03A1A"/>
    <w:rsid w:val="00B24514"/>
    <w:rsid w:val="00B25A9F"/>
    <w:rsid w:val="00B507DE"/>
    <w:rsid w:val="00BE12F8"/>
    <w:rsid w:val="00C35906"/>
    <w:rsid w:val="00C73282"/>
    <w:rsid w:val="00C73F91"/>
    <w:rsid w:val="00CB0EA9"/>
    <w:rsid w:val="00D9086C"/>
    <w:rsid w:val="00DA7227"/>
    <w:rsid w:val="00DB5AF6"/>
    <w:rsid w:val="00DB5B3D"/>
    <w:rsid w:val="00E56345"/>
    <w:rsid w:val="00E64F6F"/>
    <w:rsid w:val="00EB39E2"/>
    <w:rsid w:val="00EC3A8A"/>
    <w:rsid w:val="00F27860"/>
    <w:rsid w:val="00FD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DA28EF-EEFA-41FC-9F5C-8F05E29B8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7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345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6E4BDF"/>
    <w:pPr>
      <w:widowControl w:val="0"/>
      <w:autoSpaceDE w:val="0"/>
      <w:autoSpaceDN w:val="0"/>
      <w:ind w:left="97"/>
    </w:pPr>
    <w:rPr>
      <w:sz w:val="22"/>
      <w:szCs w:val="22"/>
      <w:lang w:eastAsia="en-US"/>
    </w:rPr>
  </w:style>
  <w:style w:type="paragraph" w:customStyle="1" w:styleId="a4">
    <w:name w:val="Знак Знак"/>
    <w:basedOn w:val="a"/>
    <w:rsid w:val="00C73F91"/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8A47F3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A47F3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rsid w:val="0068055B"/>
    <w:rPr>
      <w:color w:val="0563C1"/>
      <w:u w:val="single"/>
    </w:rPr>
  </w:style>
  <w:style w:type="paragraph" w:customStyle="1" w:styleId="rvps12">
    <w:name w:val="rvps12"/>
    <w:basedOn w:val="a"/>
    <w:rsid w:val="0068055B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tronservice.ua/zapravka-kartridzha-cf259x-hp-lj-pro-m30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tronservice.ua/vidnovlennya-kartridzha-samsung-mlt-d203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tronservice.ua/zapravka-kartridzha-mlt-d203l-samsung-sl-m3870" TargetMode="External"/><Relationship Id="rId5" Type="http://schemas.openxmlformats.org/officeDocument/2006/relationships/hyperlink" Target="https://patronservice.ua/zapravka-kartridzha-mlt-d117s-samsung-scx-4650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1890</Words>
  <Characters>1078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КИНАЛИ ДЕНИС СЕРГІЙОВИЧ</dc:creator>
  <cp:keywords/>
  <dc:description/>
  <cp:lastModifiedBy>МАЗАНЕНКО АРТЕМ АНДРІЙОВИЧ</cp:lastModifiedBy>
  <cp:revision>36</cp:revision>
  <cp:lastPrinted>2025-02-10T14:27:00Z</cp:lastPrinted>
  <dcterms:created xsi:type="dcterms:W3CDTF">2024-03-12T09:33:00Z</dcterms:created>
  <dcterms:modified xsi:type="dcterms:W3CDTF">2026-04-17T11:27:00Z</dcterms:modified>
</cp:coreProperties>
</file>