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F7B" w:rsidRPr="00877A4D" w:rsidRDefault="00B67F7B" w:rsidP="00B67F7B">
      <w:pPr>
        <w:jc w:val="center"/>
        <w:rPr>
          <w:b/>
          <w:sz w:val="24"/>
          <w:szCs w:val="24"/>
          <w:lang w:val="uk-UA"/>
        </w:rPr>
      </w:pPr>
      <w:r w:rsidRPr="00877A4D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7F7B" w:rsidRPr="00877A4D" w:rsidRDefault="00B67F7B" w:rsidP="00B67F7B">
      <w:pPr>
        <w:jc w:val="center"/>
        <w:rPr>
          <w:sz w:val="24"/>
          <w:szCs w:val="24"/>
          <w:lang w:val="uk-UA"/>
        </w:rPr>
      </w:pPr>
      <w:r w:rsidRPr="00877A4D">
        <w:rPr>
          <w:sz w:val="24"/>
          <w:szCs w:val="24"/>
          <w:lang w:val="uk-UA"/>
        </w:rPr>
        <w:t>(відповідно до пункту 4</w:t>
      </w:r>
      <w:r w:rsidRPr="00877A4D">
        <w:rPr>
          <w:sz w:val="24"/>
          <w:szCs w:val="24"/>
          <w:vertAlign w:val="superscript"/>
          <w:lang w:val="uk-UA"/>
        </w:rPr>
        <w:t xml:space="preserve">1 </w:t>
      </w:r>
      <w:r w:rsidRPr="00877A4D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877A4D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tbl>
      <w:tblPr>
        <w:tblStyle w:val="a3"/>
        <w:tblW w:w="10887" w:type="dxa"/>
        <w:tblInd w:w="-714" w:type="dxa"/>
        <w:tblLook w:val="04A0" w:firstRow="1" w:lastRow="0" w:firstColumn="1" w:lastColumn="0" w:noHBand="0" w:noVBand="1"/>
      </w:tblPr>
      <w:tblGrid>
        <w:gridCol w:w="396"/>
        <w:gridCol w:w="1902"/>
        <w:gridCol w:w="8589"/>
      </w:tblGrid>
      <w:tr w:rsidR="00B67F7B" w:rsidRPr="00877A4D" w:rsidTr="00745B7C">
        <w:tc>
          <w:tcPr>
            <w:tcW w:w="396" w:type="dxa"/>
          </w:tcPr>
          <w:p w:rsidR="00B67F7B" w:rsidRPr="00877A4D" w:rsidRDefault="00B67F7B" w:rsidP="00745B7C">
            <w:pPr>
              <w:rPr>
                <w:b/>
                <w:sz w:val="24"/>
                <w:szCs w:val="24"/>
                <w:lang w:val="uk-UA"/>
              </w:rPr>
            </w:pPr>
            <w:r w:rsidRPr="00877A4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02" w:type="dxa"/>
          </w:tcPr>
          <w:p w:rsidR="00B67F7B" w:rsidRPr="0035023F" w:rsidRDefault="00B67F7B" w:rsidP="0035023F">
            <w:pPr>
              <w:jc w:val="center"/>
              <w:rPr>
                <w:b/>
                <w:sz w:val="22"/>
                <w:szCs w:val="24"/>
                <w:lang w:val="uk-UA"/>
              </w:rPr>
            </w:pPr>
            <w:r w:rsidRPr="0035023F">
              <w:rPr>
                <w:b/>
                <w:sz w:val="22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8589" w:type="dxa"/>
          </w:tcPr>
          <w:p w:rsidR="00B67F7B" w:rsidRPr="00877A4D" w:rsidRDefault="00877A4D" w:rsidP="00877A4D">
            <w:pPr>
              <w:ind w:firstLine="264"/>
              <w:jc w:val="both"/>
              <w:rPr>
                <w:sz w:val="24"/>
                <w:szCs w:val="24"/>
                <w:lang w:val="uk-UA"/>
              </w:rPr>
            </w:pPr>
            <w:r w:rsidRPr="00877A4D">
              <w:rPr>
                <w:sz w:val="24"/>
                <w:szCs w:val="24"/>
                <w:lang w:val="uk-UA"/>
              </w:rPr>
              <w:t xml:space="preserve">Пакети програмного забезпечення для роботи з графікою та зображенням – </w:t>
            </w:r>
            <w:r w:rsidRPr="00877A4D">
              <w:rPr>
                <w:sz w:val="24"/>
                <w:szCs w:val="24"/>
                <w:lang w:val="uk-UA"/>
              </w:rPr>
              <w:br/>
              <w:t>за кодом ДК 021:2015 – 48320000-7 (Ліцензія на право користування програмним забезпеченням «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Adobe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Creative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Cloud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Pro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for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teams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All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Apps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Multi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European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Languages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>») (ідентифікатор закупівлі: UA-2026-04-14-003328-a)</w:t>
            </w:r>
          </w:p>
        </w:tc>
      </w:tr>
      <w:tr w:rsidR="00B67F7B" w:rsidRPr="00877A4D" w:rsidTr="00745B7C">
        <w:tc>
          <w:tcPr>
            <w:tcW w:w="396" w:type="dxa"/>
          </w:tcPr>
          <w:p w:rsidR="00B67F7B" w:rsidRPr="00877A4D" w:rsidRDefault="00B67F7B" w:rsidP="00745B7C">
            <w:pPr>
              <w:rPr>
                <w:b/>
                <w:sz w:val="24"/>
                <w:szCs w:val="24"/>
                <w:lang w:val="uk-UA"/>
              </w:rPr>
            </w:pPr>
            <w:r w:rsidRPr="00877A4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902" w:type="dxa"/>
          </w:tcPr>
          <w:p w:rsidR="00B67F7B" w:rsidRPr="0035023F" w:rsidRDefault="00B67F7B" w:rsidP="0035023F">
            <w:pPr>
              <w:jc w:val="center"/>
              <w:rPr>
                <w:b/>
                <w:sz w:val="22"/>
                <w:szCs w:val="24"/>
                <w:lang w:val="uk-UA"/>
              </w:rPr>
            </w:pPr>
            <w:r w:rsidRPr="0035023F">
              <w:rPr>
                <w:b/>
                <w:sz w:val="22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589" w:type="dxa"/>
          </w:tcPr>
          <w:p w:rsidR="00417D76" w:rsidRPr="00877A4D" w:rsidRDefault="00B67F7B" w:rsidP="00877A4D">
            <w:pPr>
              <w:ind w:firstLine="264"/>
              <w:jc w:val="both"/>
              <w:rPr>
                <w:sz w:val="24"/>
                <w:szCs w:val="24"/>
                <w:lang w:val="uk-UA"/>
              </w:rPr>
            </w:pPr>
            <w:r w:rsidRPr="00877A4D">
              <w:rPr>
                <w:sz w:val="24"/>
                <w:szCs w:val="24"/>
                <w:lang w:val="uk-UA"/>
              </w:rPr>
              <w:t xml:space="preserve">З метою забезпечення </w:t>
            </w:r>
            <w:r w:rsidR="00417D76" w:rsidRPr="00877A4D">
              <w:rPr>
                <w:sz w:val="24"/>
                <w:szCs w:val="24"/>
                <w:lang w:val="uk-UA"/>
              </w:rPr>
              <w:t>інформування громадськості про реалізацію податкової політики та політики у сфері адміністрування єдиного внеску через мережу Інтернет є необхідність у використанні ліцензійного програмного забезпечення для створення, редагування та підготовки графічних матеріалів, зображень, ілюстрацій, інфографіки та іншої візуальної продукції.</w:t>
            </w:r>
          </w:p>
          <w:p w:rsidR="00417D76" w:rsidRPr="00877A4D" w:rsidRDefault="00417D76" w:rsidP="00877A4D">
            <w:pPr>
              <w:ind w:firstLine="264"/>
              <w:jc w:val="both"/>
              <w:rPr>
                <w:sz w:val="24"/>
                <w:szCs w:val="24"/>
                <w:lang w:val="uk-UA"/>
              </w:rPr>
            </w:pPr>
            <w:r w:rsidRPr="00877A4D">
              <w:rPr>
                <w:sz w:val="24"/>
                <w:szCs w:val="24"/>
                <w:lang w:val="uk-UA"/>
              </w:rPr>
              <w:t xml:space="preserve">Програмні продукти компанії </w:t>
            </w:r>
            <w:r w:rsidRPr="00877A4D">
              <w:rPr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Adobe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Creative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Cloud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Pro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for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teams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All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Apps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Multi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European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Languages</w:t>
            </w:r>
            <w:proofErr w:type="spellEnd"/>
            <w:r w:rsidRPr="00877A4D">
              <w:rPr>
                <w:rStyle w:val="a6"/>
                <w:b w:val="0"/>
                <w:sz w:val="24"/>
                <w:szCs w:val="24"/>
                <w:lang w:val="uk-UA"/>
              </w:rPr>
              <w:t>»</w:t>
            </w:r>
            <w:r w:rsidRPr="00877A4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70C7D" w:rsidRPr="00877A4D">
              <w:rPr>
                <w:sz w:val="24"/>
                <w:szCs w:val="24"/>
                <w:lang w:val="uk-UA"/>
              </w:rPr>
              <w:t>(</w:t>
            </w:r>
            <w:r w:rsidRPr="00877A4D">
              <w:rPr>
                <w:rStyle w:val="a4"/>
                <w:i w:val="0"/>
                <w:sz w:val="24"/>
                <w:szCs w:val="24"/>
                <w:lang w:val="uk-UA"/>
              </w:rPr>
              <w:t>включає понад 20 програм</w:t>
            </w:r>
            <w:r w:rsidRPr="00877A4D">
              <w:rPr>
                <w:sz w:val="24"/>
                <w:szCs w:val="24"/>
                <w:lang w:val="uk-UA"/>
              </w:rPr>
              <w:t xml:space="preserve"> зокрема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Photoshop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Illustrator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Lightroom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After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7A4D">
              <w:rPr>
                <w:sz w:val="24"/>
                <w:szCs w:val="24"/>
                <w:lang w:val="uk-UA"/>
              </w:rPr>
              <w:t>Effects</w:t>
            </w:r>
            <w:proofErr w:type="spellEnd"/>
            <w:r w:rsidRPr="00877A4D">
              <w:rPr>
                <w:sz w:val="24"/>
                <w:szCs w:val="24"/>
                <w:lang w:val="uk-UA"/>
              </w:rPr>
              <w:t xml:space="preserve"> та інші профільні рішення) є галузевим стандартом у сфері роботи з растровою та векторною графікою, що забезпечує сумісність файлів із матеріалами інших установ, підрядників та друкарських організацій. Використання зазначеного програмного забезпечення дозв</w:t>
            </w:r>
            <w:r w:rsidR="00121E69" w:rsidRPr="00877A4D">
              <w:rPr>
                <w:sz w:val="24"/>
                <w:szCs w:val="24"/>
                <w:lang w:val="uk-UA"/>
              </w:rPr>
              <w:t>оляє</w:t>
            </w:r>
            <w:r w:rsidRPr="00877A4D">
              <w:rPr>
                <w:sz w:val="24"/>
                <w:szCs w:val="24"/>
                <w:lang w:val="uk-UA"/>
              </w:rPr>
              <w:t xml:space="preserve"> підвищити якість візуального контенту, оптимізувати робочі процеси, скоротити час на підготовку матеріалів та забезпечити відповідність сучасним вимогам </w:t>
            </w:r>
            <w:r w:rsidR="00877A4D" w:rsidRPr="00877A4D">
              <w:rPr>
                <w:sz w:val="24"/>
                <w:szCs w:val="24"/>
                <w:lang w:val="uk-UA"/>
              </w:rPr>
              <w:br/>
            </w:r>
            <w:r w:rsidRPr="00877A4D">
              <w:rPr>
                <w:sz w:val="24"/>
                <w:szCs w:val="24"/>
                <w:lang w:val="uk-UA"/>
              </w:rPr>
              <w:t>до інформаційно-графічного оформлення.</w:t>
            </w:r>
          </w:p>
          <w:p w:rsidR="00B67F7B" w:rsidRPr="00877A4D" w:rsidRDefault="00121E69" w:rsidP="00877A4D">
            <w:pPr>
              <w:pStyle w:val="a5"/>
              <w:spacing w:before="0" w:beforeAutospacing="0" w:after="0" w:afterAutospacing="0"/>
              <w:ind w:firstLine="264"/>
              <w:jc w:val="both"/>
            </w:pPr>
            <w:r w:rsidRPr="00877A4D">
              <w:t>П</w:t>
            </w:r>
            <w:r w:rsidR="00417D76" w:rsidRPr="00877A4D">
              <w:t xml:space="preserve">ридбання офіційних ліцензій мінімізує ризики, пов’язані з використанням неліцензійного програмного забезпечення, зокрема правові, репутаційні </w:t>
            </w:r>
            <w:r w:rsidR="00877A4D" w:rsidRPr="00877A4D">
              <w:br/>
            </w:r>
            <w:r w:rsidR="00417D76" w:rsidRPr="00877A4D">
              <w:t xml:space="preserve">та </w:t>
            </w:r>
            <w:proofErr w:type="spellStart"/>
            <w:r w:rsidR="00417D76" w:rsidRPr="00877A4D">
              <w:t>кібербезпекові</w:t>
            </w:r>
            <w:proofErr w:type="spellEnd"/>
            <w:r w:rsidR="00417D76" w:rsidRPr="00877A4D">
              <w:t xml:space="preserve">. Ліцензійні продукти забезпечують регулярні оновлення, технічну підтримку та стабільну роботу програм, що є критично важливим </w:t>
            </w:r>
            <w:r w:rsidR="0035023F">
              <w:br/>
            </w:r>
            <w:r w:rsidR="00417D76" w:rsidRPr="00877A4D">
              <w:t>для безперервної діяльності та належного виконання покладених функцій.</w:t>
            </w:r>
            <w:r w:rsidR="00417D76" w:rsidRPr="00877A4D">
              <w:rPr>
                <w:color w:val="000000"/>
              </w:rPr>
              <w:t xml:space="preserve"> </w:t>
            </w:r>
            <w:r w:rsidR="00877A4D" w:rsidRPr="00877A4D">
              <w:rPr>
                <w:color w:val="000000"/>
              </w:rPr>
              <w:br/>
            </w:r>
            <w:r w:rsidR="00417D76" w:rsidRPr="00877A4D">
              <w:rPr>
                <w:color w:val="000000"/>
              </w:rPr>
              <w:t xml:space="preserve">Технічні та якісні характеристики предмета закупівлі визначені </w:t>
            </w:r>
            <w:r w:rsidR="0035023F">
              <w:rPr>
                <w:color w:val="000000"/>
              </w:rPr>
              <w:br/>
            </w:r>
            <w:r w:rsidR="00417D76" w:rsidRPr="00877A4D">
              <w:rPr>
                <w:color w:val="000000"/>
              </w:rPr>
              <w:t xml:space="preserve">відповідно до потреб </w:t>
            </w:r>
            <w:r w:rsidR="00312FC9" w:rsidRPr="00877A4D">
              <w:rPr>
                <w:color w:val="000000"/>
              </w:rPr>
              <w:t>З</w:t>
            </w:r>
            <w:r w:rsidR="00417D76" w:rsidRPr="00877A4D">
              <w:rPr>
                <w:color w:val="000000"/>
              </w:rPr>
              <w:t>амовника.</w:t>
            </w:r>
          </w:p>
        </w:tc>
      </w:tr>
      <w:tr w:rsidR="00B67F7B" w:rsidRPr="00877A4D" w:rsidTr="00745B7C">
        <w:tc>
          <w:tcPr>
            <w:tcW w:w="396" w:type="dxa"/>
          </w:tcPr>
          <w:p w:rsidR="00B67F7B" w:rsidRPr="00877A4D" w:rsidRDefault="00B67F7B" w:rsidP="00745B7C">
            <w:pPr>
              <w:rPr>
                <w:b/>
                <w:sz w:val="24"/>
                <w:szCs w:val="24"/>
                <w:lang w:val="uk-UA"/>
              </w:rPr>
            </w:pPr>
            <w:r w:rsidRPr="00877A4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902" w:type="dxa"/>
          </w:tcPr>
          <w:p w:rsidR="00B67F7B" w:rsidRPr="0035023F" w:rsidRDefault="00B67F7B" w:rsidP="0035023F">
            <w:pPr>
              <w:jc w:val="center"/>
              <w:rPr>
                <w:b/>
                <w:sz w:val="22"/>
                <w:szCs w:val="24"/>
                <w:lang w:val="uk-UA"/>
              </w:rPr>
            </w:pPr>
            <w:r w:rsidRPr="0035023F">
              <w:rPr>
                <w:b/>
                <w:sz w:val="22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589" w:type="dxa"/>
          </w:tcPr>
          <w:p w:rsidR="00877A4D" w:rsidRPr="00877A4D" w:rsidRDefault="00B67F7B" w:rsidP="00877A4D">
            <w:pPr>
              <w:ind w:firstLine="264"/>
              <w:jc w:val="both"/>
              <w:rPr>
                <w:sz w:val="24"/>
                <w:szCs w:val="24"/>
                <w:lang w:val="uk-UA"/>
              </w:rPr>
            </w:pPr>
            <w:r w:rsidRPr="00877A4D">
              <w:rPr>
                <w:sz w:val="24"/>
                <w:szCs w:val="24"/>
                <w:lang w:val="uk-UA"/>
              </w:rPr>
              <w:t>Очікуван</w:t>
            </w:r>
            <w:r w:rsidR="00312FC9" w:rsidRPr="00877A4D">
              <w:rPr>
                <w:sz w:val="24"/>
                <w:szCs w:val="24"/>
                <w:lang w:val="uk-UA"/>
              </w:rPr>
              <w:t>а</w:t>
            </w:r>
            <w:r w:rsidRPr="00877A4D">
              <w:rPr>
                <w:sz w:val="24"/>
                <w:szCs w:val="24"/>
                <w:lang w:val="uk-UA"/>
              </w:rPr>
              <w:t xml:space="preserve"> вартість 2 ліцензій на 1 рік складає 119</w:t>
            </w:r>
            <w:r w:rsidR="00417D76" w:rsidRPr="00877A4D">
              <w:rPr>
                <w:sz w:val="24"/>
                <w:szCs w:val="24"/>
                <w:lang w:val="uk-UA"/>
              </w:rPr>
              <w:t xml:space="preserve"> </w:t>
            </w:r>
            <w:r w:rsidRPr="00877A4D">
              <w:rPr>
                <w:sz w:val="24"/>
                <w:szCs w:val="24"/>
                <w:lang w:val="uk-UA"/>
              </w:rPr>
              <w:t>797,00 грн.</w:t>
            </w:r>
          </w:p>
          <w:p w:rsidR="00B67F7B" w:rsidRPr="00877A4D" w:rsidRDefault="00B67F7B" w:rsidP="00877A4D">
            <w:pPr>
              <w:ind w:firstLine="264"/>
              <w:jc w:val="both"/>
              <w:rPr>
                <w:sz w:val="24"/>
                <w:szCs w:val="24"/>
                <w:lang w:val="uk-UA"/>
              </w:rPr>
            </w:pPr>
            <w:r w:rsidRPr="00877A4D">
              <w:rPr>
                <w:sz w:val="24"/>
                <w:szCs w:val="24"/>
                <w:lang w:val="uk-UA"/>
              </w:rPr>
              <w:t xml:space="preserve">Розрахунок очікуваної вартості зазначених послуг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="00877A4D" w:rsidRPr="00877A4D">
              <w:rPr>
                <w:sz w:val="24"/>
                <w:szCs w:val="24"/>
                <w:lang w:val="uk-UA"/>
              </w:rPr>
              <w:br/>
            </w:r>
            <w:r w:rsidRPr="00877A4D">
              <w:rPr>
                <w:sz w:val="24"/>
                <w:szCs w:val="24"/>
                <w:lang w:val="uk-UA"/>
              </w:rPr>
              <w:t xml:space="preserve">та сільського господарства України від 18.02.2020 № 275 (зі змінами), </w:t>
            </w:r>
            <w:r w:rsidR="0086231E">
              <w:rPr>
                <w:sz w:val="24"/>
                <w:szCs w:val="24"/>
                <w:lang w:val="uk-UA"/>
              </w:rPr>
              <w:br/>
            </w:r>
            <w:r w:rsidRPr="00877A4D">
              <w:rPr>
                <w:sz w:val="24"/>
                <w:szCs w:val="24"/>
                <w:lang w:val="uk-UA"/>
              </w:rPr>
              <w:t>зокрема на підставі аналізу отриманих пропозицій від учасників ринку.</w:t>
            </w:r>
            <w:bookmarkStart w:id="0" w:name="_GoBack"/>
            <w:bookmarkEnd w:id="0"/>
          </w:p>
        </w:tc>
      </w:tr>
    </w:tbl>
    <w:p w:rsidR="00735C7F" w:rsidRPr="00877A4D" w:rsidRDefault="00370C7D">
      <w:pPr>
        <w:rPr>
          <w:lang w:val="uk-UA"/>
        </w:rPr>
      </w:pPr>
    </w:p>
    <w:p w:rsidR="0035023F" w:rsidRPr="00877A4D" w:rsidRDefault="0035023F">
      <w:pPr>
        <w:rPr>
          <w:lang w:val="uk-UA"/>
        </w:rPr>
      </w:pPr>
    </w:p>
    <w:sectPr w:rsidR="0035023F" w:rsidRPr="00877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FD"/>
    <w:rsid w:val="00121E69"/>
    <w:rsid w:val="002D28A9"/>
    <w:rsid w:val="00312FC9"/>
    <w:rsid w:val="0035023F"/>
    <w:rsid w:val="00370C7D"/>
    <w:rsid w:val="003754D6"/>
    <w:rsid w:val="00417D76"/>
    <w:rsid w:val="007A45FD"/>
    <w:rsid w:val="007C23A2"/>
    <w:rsid w:val="0086231E"/>
    <w:rsid w:val="00877A4D"/>
    <w:rsid w:val="00977102"/>
    <w:rsid w:val="00980316"/>
    <w:rsid w:val="009F65C6"/>
    <w:rsid w:val="00B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8A9"/>
  <w15:docId w15:val="{1F0FE9C5-69FB-407C-9C3A-F961D24F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B67F7B"/>
    <w:rPr>
      <w:i/>
      <w:iCs/>
    </w:rPr>
  </w:style>
  <w:style w:type="paragraph" w:styleId="a5">
    <w:name w:val="Normal (Web)"/>
    <w:basedOn w:val="a"/>
    <w:uiPriority w:val="99"/>
    <w:unhideWhenUsed/>
    <w:rsid w:val="00417D7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41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КИНАЛИ ДЕНИС СЕРГІЙОВИЧ</cp:lastModifiedBy>
  <cp:revision>10</cp:revision>
  <dcterms:created xsi:type="dcterms:W3CDTF">2026-03-04T08:53:00Z</dcterms:created>
  <dcterms:modified xsi:type="dcterms:W3CDTF">2026-04-17T12:14:00Z</dcterms:modified>
</cp:coreProperties>
</file>