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0A" w:rsidRPr="00EA6204" w:rsidRDefault="001F480A" w:rsidP="001F480A">
      <w:pPr>
        <w:rPr>
          <w:sz w:val="24"/>
          <w:lang w:val="uk-UA"/>
        </w:rPr>
      </w:pPr>
    </w:p>
    <w:p w:rsidR="001D5BA8" w:rsidRPr="001D5BA8" w:rsidRDefault="001D5BA8" w:rsidP="001D5BA8">
      <w:pPr>
        <w:suppressAutoHyphens w:val="0"/>
        <w:jc w:val="center"/>
        <w:rPr>
          <w:b/>
          <w:sz w:val="28"/>
          <w:szCs w:val="28"/>
          <w:lang w:val="uk-UA"/>
        </w:rPr>
      </w:pPr>
      <w:r w:rsidRPr="001D5BA8">
        <w:rPr>
          <w:b/>
          <w:sz w:val="28"/>
          <w:szCs w:val="28"/>
          <w:lang w:val="uk-UA"/>
        </w:rPr>
        <w:t xml:space="preserve">Обґрунтування технічних та якісних характеристик </w:t>
      </w:r>
    </w:p>
    <w:p w:rsidR="001D5BA8" w:rsidRPr="001D5BA8" w:rsidRDefault="001D5BA8" w:rsidP="001D5BA8">
      <w:pPr>
        <w:suppressAutoHyphens w:val="0"/>
        <w:jc w:val="center"/>
        <w:rPr>
          <w:b/>
          <w:sz w:val="28"/>
          <w:szCs w:val="28"/>
          <w:lang w:val="uk-UA"/>
        </w:rPr>
      </w:pPr>
      <w:r w:rsidRPr="001D5BA8">
        <w:rPr>
          <w:b/>
          <w:sz w:val="28"/>
          <w:szCs w:val="28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1D5BA8" w:rsidRPr="001D5BA8" w:rsidRDefault="001D5BA8" w:rsidP="001D5BA8">
      <w:pPr>
        <w:suppressAutoHyphens w:val="0"/>
        <w:contextualSpacing/>
        <w:jc w:val="center"/>
        <w:rPr>
          <w:sz w:val="28"/>
          <w:szCs w:val="28"/>
        </w:rPr>
      </w:pPr>
      <w:r w:rsidRPr="001D5BA8">
        <w:rPr>
          <w:sz w:val="28"/>
          <w:szCs w:val="28"/>
          <w:lang w:val="uk-UA"/>
        </w:rPr>
        <w:t>(відповідно до пункту 4</w:t>
      </w:r>
      <w:r w:rsidRPr="001D5BA8">
        <w:rPr>
          <w:sz w:val="28"/>
          <w:szCs w:val="28"/>
          <w:vertAlign w:val="superscript"/>
          <w:lang w:val="uk-UA"/>
        </w:rPr>
        <w:t xml:space="preserve">1 </w:t>
      </w:r>
      <w:r w:rsidRPr="001D5BA8">
        <w:rPr>
          <w:sz w:val="28"/>
          <w:szCs w:val="28"/>
          <w:lang w:val="uk-UA"/>
        </w:rPr>
        <w:t xml:space="preserve">постанови Кабінету Міністрів України від 11 жовтня </w:t>
      </w:r>
      <w:r w:rsidRPr="001D5BA8">
        <w:rPr>
          <w:sz w:val="28"/>
          <w:szCs w:val="28"/>
          <w:lang w:val="uk-UA"/>
        </w:rPr>
        <w:br/>
        <w:t>2016 року № 710 «Про ефективне використання державних коштів»</w:t>
      </w:r>
      <w:r w:rsidRPr="001D5BA8">
        <w:rPr>
          <w:sz w:val="28"/>
          <w:szCs w:val="28"/>
        </w:rPr>
        <w:t>)</w:t>
      </w:r>
    </w:p>
    <w:p w:rsidR="00413E1C" w:rsidRPr="001D5BA8" w:rsidRDefault="00413E1C" w:rsidP="001F480A">
      <w:pPr>
        <w:jc w:val="center"/>
        <w:rPr>
          <w:sz w:val="24"/>
          <w:szCs w:val="24"/>
        </w:rPr>
      </w:pPr>
    </w:p>
    <w:tbl>
      <w:tblPr>
        <w:tblW w:w="10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405"/>
      </w:tblGrid>
      <w:tr w:rsidR="001D5BA8" w:rsidRPr="00442662" w:rsidTr="00744B29">
        <w:trPr>
          <w:trHeight w:hRule="exact" w:val="1674"/>
        </w:trPr>
        <w:tc>
          <w:tcPr>
            <w:tcW w:w="421" w:type="dxa"/>
            <w:shd w:val="clear" w:color="auto" w:fill="auto"/>
          </w:tcPr>
          <w:p w:rsidR="001D5BA8" w:rsidRPr="001D5BA8" w:rsidRDefault="001D5BA8" w:rsidP="001D5BA8">
            <w:pPr>
              <w:suppressAutoHyphens w:val="0"/>
              <w:rPr>
                <w:sz w:val="24"/>
                <w:szCs w:val="24"/>
                <w:lang w:val="uk-UA"/>
              </w:rPr>
            </w:pPr>
            <w:r w:rsidRPr="001D5BA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D5BA8" w:rsidRPr="001D5BA8" w:rsidRDefault="001D5BA8" w:rsidP="001D5BA8">
            <w:pPr>
              <w:suppressAutoHyphens w:val="0"/>
              <w:rPr>
                <w:b/>
                <w:sz w:val="24"/>
                <w:szCs w:val="24"/>
                <w:lang w:val="uk-UA"/>
              </w:rPr>
            </w:pPr>
            <w:r w:rsidRPr="001D5BA8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1D5BA8" w:rsidRPr="00744B29" w:rsidRDefault="0078539A" w:rsidP="001D5BA8">
            <w:pPr>
              <w:keepNext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Arial" w:hAnsi="Arial" w:cs="Arial"/>
                <w:bCs/>
                <w:color w:val="333333"/>
                <w:kern w:val="32"/>
                <w:sz w:val="24"/>
                <w:szCs w:val="24"/>
                <w:lang w:val="uk-UA" w:eastAsia="uk-UA"/>
              </w:rPr>
            </w:pPr>
            <w:r w:rsidRPr="00442662">
              <w:rPr>
                <w:snapToGrid w:val="0"/>
                <w:sz w:val="24"/>
                <w:szCs w:val="24"/>
                <w:lang w:val="uk-UA" w:eastAsia="en-US"/>
              </w:rPr>
              <w:t>Послуги з ремонту і технічного обслуговування техніки – за кодом ДК 021:2015 – 50530000-9 (</w:t>
            </w:r>
            <w:r w:rsidRPr="00442662">
              <w:rPr>
                <w:sz w:val="24"/>
                <w:szCs w:val="24"/>
                <w:lang w:val="uk-UA"/>
              </w:rPr>
              <w:t>Послуги з річного технічного обслуговування дизель-генератора</w:t>
            </w:r>
            <w:r w:rsidR="00442662">
              <w:rPr>
                <w:sz w:val="24"/>
                <w:szCs w:val="24"/>
                <w:lang w:val="uk-UA"/>
              </w:rPr>
              <w:t xml:space="preserve"> </w:t>
            </w:r>
            <w:r w:rsidR="00442662">
              <w:rPr>
                <w:sz w:val="24"/>
                <w:szCs w:val="24"/>
                <w:lang w:val="uk-UA"/>
              </w:rPr>
              <w:br/>
            </w:r>
            <w:r w:rsidRPr="00744B29">
              <w:rPr>
                <w:sz w:val="24"/>
                <w:szCs w:val="24"/>
                <w:lang w:val="en-US"/>
              </w:rPr>
              <w:t>Wilson</w:t>
            </w:r>
            <w:r w:rsidRPr="00442662">
              <w:rPr>
                <w:sz w:val="24"/>
                <w:szCs w:val="24"/>
                <w:lang w:val="uk-UA"/>
              </w:rPr>
              <w:t xml:space="preserve"> </w:t>
            </w:r>
            <w:r w:rsidRPr="00744B29">
              <w:rPr>
                <w:sz w:val="24"/>
                <w:szCs w:val="24"/>
                <w:lang w:val="en-US"/>
              </w:rPr>
              <w:t>P</w:t>
            </w:r>
            <w:r w:rsidRPr="00442662">
              <w:rPr>
                <w:sz w:val="24"/>
                <w:szCs w:val="24"/>
                <w:lang w:val="uk-UA"/>
              </w:rPr>
              <w:t xml:space="preserve">330 </w:t>
            </w:r>
            <w:proofErr w:type="spellStart"/>
            <w:r w:rsidRPr="00442662">
              <w:rPr>
                <w:sz w:val="24"/>
                <w:szCs w:val="24"/>
                <w:lang w:val="uk-UA"/>
              </w:rPr>
              <w:t>кВА</w:t>
            </w:r>
            <w:proofErr w:type="spellEnd"/>
            <w:r w:rsidRPr="00442662">
              <w:rPr>
                <w:sz w:val="24"/>
                <w:szCs w:val="24"/>
                <w:lang w:val="uk-UA"/>
              </w:rPr>
              <w:t xml:space="preserve"> та</w:t>
            </w:r>
            <w:r w:rsidRPr="00744B29">
              <w:rPr>
                <w:sz w:val="24"/>
                <w:szCs w:val="24"/>
              </w:rPr>
              <w:t> </w:t>
            </w:r>
            <w:r w:rsidRPr="00442662">
              <w:rPr>
                <w:sz w:val="24"/>
                <w:szCs w:val="24"/>
                <w:lang w:val="uk-UA"/>
              </w:rPr>
              <w:t>пересувної дизельної електростанції потужністю 700</w:t>
            </w:r>
            <w:r w:rsidRPr="00744B29">
              <w:rPr>
                <w:sz w:val="24"/>
                <w:szCs w:val="24"/>
              </w:rPr>
              <w:t> </w:t>
            </w:r>
            <w:proofErr w:type="spellStart"/>
            <w:r w:rsidRPr="00442662">
              <w:rPr>
                <w:sz w:val="24"/>
                <w:szCs w:val="24"/>
                <w:lang w:val="uk-UA"/>
              </w:rPr>
              <w:t>кВА</w:t>
            </w:r>
            <w:proofErr w:type="spellEnd"/>
            <w:r w:rsidRPr="00442662">
              <w:rPr>
                <w:sz w:val="24"/>
                <w:szCs w:val="24"/>
                <w:lang w:val="uk-UA"/>
              </w:rPr>
              <w:t xml:space="preserve"> М</w:t>
            </w:r>
            <w:r w:rsidRPr="00744B29">
              <w:rPr>
                <w:sz w:val="24"/>
                <w:szCs w:val="24"/>
              </w:rPr>
              <w:t>D</w:t>
            </w:r>
            <w:r w:rsidRPr="00442662">
              <w:rPr>
                <w:sz w:val="24"/>
                <w:szCs w:val="24"/>
                <w:lang w:val="uk-UA"/>
              </w:rPr>
              <w:t>700</w:t>
            </w:r>
            <w:r w:rsidRPr="00744B29">
              <w:rPr>
                <w:sz w:val="24"/>
                <w:szCs w:val="24"/>
              </w:rPr>
              <w:t>P</w:t>
            </w:r>
            <w:r w:rsidRPr="00442662">
              <w:rPr>
                <w:snapToGrid w:val="0"/>
                <w:sz w:val="24"/>
                <w:szCs w:val="24"/>
                <w:lang w:val="uk-UA" w:eastAsia="en-US"/>
              </w:rPr>
              <w:t>)</w:t>
            </w:r>
            <w:r w:rsidRPr="00744B29">
              <w:rPr>
                <w:sz w:val="24"/>
                <w:szCs w:val="24"/>
                <w:lang w:val="uk-UA"/>
              </w:rPr>
              <w:t xml:space="preserve"> </w:t>
            </w:r>
            <w:r w:rsidR="001D5BA8" w:rsidRPr="004776DE">
              <w:rPr>
                <w:sz w:val="24"/>
                <w:szCs w:val="24"/>
                <w:lang w:val="uk-UA"/>
              </w:rPr>
              <w:t>(ідентифікатор закупівлі: UA-202</w:t>
            </w:r>
            <w:r w:rsidR="001D5BA8" w:rsidRPr="00442662">
              <w:rPr>
                <w:sz w:val="24"/>
                <w:szCs w:val="24"/>
                <w:lang w:val="uk-UA"/>
              </w:rPr>
              <w:t>6</w:t>
            </w:r>
            <w:r w:rsidR="001D5BA8" w:rsidRPr="004776DE">
              <w:rPr>
                <w:sz w:val="24"/>
                <w:szCs w:val="24"/>
                <w:lang w:val="uk-UA"/>
              </w:rPr>
              <w:t>-</w:t>
            </w:r>
            <w:r w:rsidR="001D5BA8" w:rsidRPr="00442662">
              <w:rPr>
                <w:sz w:val="24"/>
                <w:szCs w:val="24"/>
                <w:lang w:val="uk-UA"/>
              </w:rPr>
              <w:t>0</w:t>
            </w:r>
            <w:r w:rsidR="00744B29" w:rsidRPr="004776DE">
              <w:rPr>
                <w:sz w:val="24"/>
                <w:szCs w:val="24"/>
                <w:lang w:val="uk-UA"/>
              </w:rPr>
              <w:t>4</w:t>
            </w:r>
            <w:r w:rsidR="001D5BA8" w:rsidRPr="004776DE">
              <w:rPr>
                <w:sz w:val="24"/>
                <w:szCs w:val="24"/>
                <w:lang w:val="uk-UA"/>
              </w:rPr>
              <w:t>-</w:t>
            </w:r>
            <w:r w:rsidR="00744B29" w:rsidRPr="004776DE">
              <w:rPr>
                <w:sz w:val="24"/>
                <w:szCs w:val="24"/>
                <w:lang w:val="uk-UA"/>
              </w:rPr>
              <w:t>0</w:t>
            </w:r>
            <w:r w:rsidR="001D5BA8" w:rsidRPr="004776DE">
              <w:rPr>
                <w:sz w:val="24"/>
                <w:szCs w:val="24"/>
                <w:lang w:val="uk-UA"/>
              </w:rPr>
              <w:t>6-0</w:t>
            </w:r>
            <w:r w:rsidR="00083E63" w:rsidRPr="004776DE">
              <w:rPr>
                <w:sz w:val="24"/>
                <w:szCs w:val="24"/>
                <w:lang w:val="uk-UA"/>
              </w:rPr>
              <w:t>0</w:t>
            </w:r>
            <w:r w:rsidR="00744B29" w:rsidRPr="004776DE">
              <w:rPr>
                <w:sz w:val="24"/>
                <w:szCs w:val="24"/>
                <w:lang w:val="uk-UA"/>
              </w:rPr>
              <w:t>7909</w:t>
            </w:r>
            <w:r w:rsidR="001D5BA8" w:rsidRPr="004776DE">
              <w:rPr>
                <w:sz w:val="24"/>
                <w:szCs w:val="24"/>
                <w:lang w:val="uk-UA"/>
              </w:rPr>
              <w:t>-a)</w:t>
            </w:r>
          </w:p>
        </w:tc>
      </w:tr>
      <w:tr w:rsidR="0078539A" w:rsidRPr="0078539A" w:rsidTr="001D5BA8">
        <w:trPr>
          <w:trHeight w:val="1544"/>
        </w:trPr>
        <w:tc>
          <w:tcPr>
            <w:tcW w:w="421" w:type="dxa"/>
            <w:shd w:val="clear" w:color="auto" w:fill="auto"/>
          </w:tcPr>
          <w:p w:rsidR="0078539A" w:rsidRPr="001D5BA8" w:rsidRDefault="0078539A" w:rsidP="0078539A">
            <w:pPr>
              <w:suppressAutoHyphens w:val="0"/>
              <w:rPr>
                <w:sz w:val="24"/>
                <w:szCs w:val="24"/>
                <w:lang w:val="uk-UA"/>
              </w:rPr>
            </w:pPr>
            <w:r w:rsidRPr="001D5BA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78539A" w:rsidRPr="001D5BA8" w:rsidRDefault="0078539A" w:rsidP="0078539A">
            <w:pPr>
              <w:suppressAutoHyphens w:val="0"/>
              <w:rPr>
                <w:b/>
                <w:sz w:val="24"/>
                <w:szCs w:val="24"/>
                <w:lang w:val="uk-UA"/>
              </w:rPr>
            </w:pPr>
            <w:r w:rsidRPr="001D5BA8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78539A" w:rsidRPr="00744B29" w:rsidRDefault="0078539A" w:rsidP="0078539A">
            <w:pPr>
              <w:jc w:val="both"/>
              <w:rPr>
                <w:snapToGrid w:val="0"/>
                <w:sz w:val="24"/>
                <w:szCs w:val="24"/>
                <w:lang w:val="uk-UA" w:eastAsia="en-US"/>
              </w:rPr>
            </w:pPr>
            <w:r w:rsidRPr="00744B29">
              <w:rPr>
                <w:sz w:val="24"/>
                <w:szCs w:val="24"/>
                <w:lang w:val="uk-UA" w:eastAsia="ar-SA"/>
              </w:rPr>
              <w:t xml:space="preserve">Проведення ремонту і технічного обслуговування </w:t>
            </w:r>
            <w:r w:rsidR="00744B29">
              <w:rPr>
                <w:sz w:val="24"/>
                <w:szCs w:val="24"/>
                <w:lang w:val="uk-UA" w:eastAsia="ar-SA"/>
              </w:rPr>
              <w:br/>
            </w:r>
            <w:r w:rsidRPr="00744B29">
              <w:rPr>
                <w:sz w:val="24"/>
                <w:szCs w:val="24"/>
                <w:lang w:val="uk-UA" w:eastAsia="ar-SA"/>
              </w:rPr>
              <w:t xml:space="preserve">дизель-генератора </w:t>
            </w:r>
            <w:proofErr w:type="spellStart"/>
            <w:r w:rsidRPr="00744B29">
              <w:rPr>
                <w:sz w:val="24"/>
                <w:szCs w:val="24"/>
                <w:lang w:eastAsia="ar-SA"/>
              </w:rPr>
              <w:t>Wilson</w:t>
            </w:r>
            <w:proofErr w:type="spellEnd"/>
            <w:r w:rsidRPr="00744B29">
              <w:rPr>
                <w:sz w:val="24"/>
                <w:szCs w:val="24"/>
                <w:lang w:val="uk-UA" w:eastAsia="ar-SA"/>
              </w:rPr>
              <w:t xml:space="preserve"> </w:t>
            </w:r>
            <w:r w:rsidRPr="00744B29">
              <w:rPr>
                <w:sz w:val="24"/>
                <w:szCs w:val="24"/>
                <w:lang w:eastAsia="ar-SA"/>
              </w:rPr>
              <w:t>P</w:t>
            </w:r>
            <w:r w:rsidRPr="00744B29">
              <w:rPr>
                <w:sz w:val="24"/>
                <w:szCs w:val="24"/>
                <w:lang w:val="uk-UA" w:eastAsia="ar-SA"/>
              </w:rPr>
              <w:t xml:space="preserve">330 </w:t>
            </w:r>
            <w:proofErr w:type="spellStart"/>
            <w:r w:rsidRPr="00744B29">
              <w:rPr>
                <w:sz w:val="24"/>
                <w:szCs w:val="24"/>
                <w:lang w:val="uk-UA" w:eastAsia="ar-SA"/>
              </w:rPr>
              <w:t>кВА</w:t>
            </w:r>
            <w:proofErr w:type="spellEnd"/>
            <w:r w:rsidR="00744B29">
              <w:rPr>
                <w:sz w:val="24"/>
                <w:szCs w:val="24"/>
                <w:lang w:val="uk-UA" w:eastAsia="ar-SA"/>
              </w:rPr>
              <w:t xml:space="preserve"> та</w:t>
            </w:r>
            <w:r w:rsidRPr="00744B29">
              <w:rPr>
                <w:sz w:val="24"/>
                <w:szCs w:val="24"/>
                <w:lang w:val="uk-UA" w:eastAsia="ar-SA"/>
              </w:rPr>
              <w:t xml:space="preserve"> пересувної дизельної електростанції потужністю 700 </w:t>
            </w:r>
            <w:proofErr w:type="spellStart"/>
            <w:r w:rsidRPr="00744B29">
              <w:rPr>
                <w:sz w:val="24"/>
                <w:szCs w:val="24"/>
                <w:lang w:val="uk-UA" w:eastAsia="ar-SA"/>
              </w:rPr>
              <w:t>кВА</w:t>
            </w:r>
            <w:proofErr w:type="spellEnd"/>
            <w:r w:rsidRPr="00744B29">
              <w:rPr>
                <w:sz w:val="24"/>
                <w:szCs w:val="24"/>
                <w:lang w:val="uk-UA" w:eastAsia="ar-SA"/>
              </w:rPr>
              <w:t xml:space="preserve"> М</w:t>
            </w:r>
            <w:r w:rsidRPr="00744B29">
              <w:rPr>
                <w:sz w:val="24"/>
                <w:szCs w:val="24"/>
                <w:lang w:eastAsia="ar-SA"/>
              </w:rPr>
              <w:t>D</w:t>
            </w:r>
            <w:r w:rsidRPr="00744B29">
              <w:rPr>
                <w:sz w:val="24"/>
                <w:szCs w:val="24"/>
                <w:lang w:val="uk-UA" w:eastAsia="ar-SA"/>
              </w:rPr>
              <w:t>700</w:t>
            </w:r>
            <w:r w:rsidRPr="00744B29">
              <w:rPr>
                <w:sz w:val="24"/>
                <w:szCs w:val="24"/>
                <w:lang w:eastAsia="ar-SA"/>
              </w:rPr>
              <w:t>P</w:t>
            </w:r>
            <w:r w:rsidRPr="00744B29">
              <w:rPr>
                <w:sz w:val="24"/>
                <w:szCs w:val="24"/>
                <w:lang w:val="uk-UA" w:eastAsia="ar-SA"/>
              </w:rPr>
              <w:t xml:space="preserve"> здійснюється відповідно до пункту 4 Регламенту організації роботи та експлуатації </w:t>
            </w:r>
            <w:r w:rsidR="00AF7D3D">
              <w:rPr>
                <w:sz w:val="24"/>
                <w:szCs w:val="24"/>
                <w:lang w:val="uk-UA" w:eastAsia="ar-SA"/>
              </w:rPr>
              <w:t>дизель-</w:t>
            </w:r>
            <w:r w:rsidR="004F2013">
              <w:rPr>
                <w:sz w:val="24"/>
                <w:szCs w:val="24"/>
                <w:lang w:val="uk-UA" w:eastAsia="ar-SA"/>
              </w:rPr>
              <w:t>генераторних установок</w:t>
            </w:r>
            <w:r w:rsidR="004F2013">
              <w:rPr>
                <w:sz w:val="24"/>
                <w:szCs w:val="24"/>
                <w:lang w:val="uk-UA" w:eastAsia="ar-SA"/>
              </w:rPr>
              <w:br/>
            </w:r>
            <w:r w:rsidRPr="00744B29">
              <w:rPr>
                <w:sz w:val="24"/>
                <w:szCs w:val="24"/>
                <w:lang w:val="uk-UA" w:eastAsia="ar-SA"/>
              </w:rPr>
              <w:t>у Державній податковій службі України</w:t>
            </w:r>
            <w:r w:rsidR="00442662">
              <w:rPr>
                <w:sz w:val="24"/>
                <w:szCs w:val="24"/>
                <w:lang w:val="uk-UA" w:eastAsia="ar-SA"/>
              </w:rPr>
              <w:t>,</w:t>
            </w:r>
            <w:r w:rsidRPr="00744B29">
              <w:rPr>
                <w:sz w:val="24"/>
                <w:szCs w:val="24"/>
                <w:lang w:val="uk-UA" w:eastAsia="ar-SA"/>
              </w:rPr>
              <w:t xml:space="preserve"> затвердженого </w:t>
            </w:r>
            <w:r w:rsidR="00442662">
              <w:rPr>
                <w:sz w:val="24"/>
                <w:szCs w:val="24"/>
                <w:lang w:val="uk-UA" w:eastAsia="ar-SA"/>
              </w:rPr>
              <w:t>н</w:t>
            </w:r>
            <w:r w:rsidRPr="00744B29">
              <w:rPr>
                <w:sz w:val="24"/>
                <w:szCs w:val="24"/>
                <w:lang w:val="uk-UA" w:eastAsia="ar-SA"/>
              </w:rPr>
              <w:t>аказом ДПС від</w:t>
            </w:r>
            <w:r w:rsidRPr="00744B29">
              <w:rPr>
                <w:sz w:val="24"/>
                <w:szCs w:val="24"/>
                <w:lang w:eastAsia="ar-SA"/>
              </w:rPr>
              <w:t> </w:t>
            </w:r>
            <w:r w:rsidRPr="00744B29">
              <w:rPr>
                <w:sz w:val="24"/>
                <w:szCs w:val="24"/>
                <w:lang w:val="uk-UA" w:eastAsia="ar-SA"/>
              </w:rPr>
              <w:t>27.05.2025 №</w:t>
            </w:r>
            <w:r w:rsidRPr="00744B29">
              <w:rPr>
                <w:sz w:val="24"/>
                <w:szCs w:val="24"/>
                <w:lang w:eastAsia="ar-SA"/>
              </w:rPr>
              <w:t> </w:t>
            </w:r>
            <w:r w:rsidRPr="00744B29">
              <w:rPr>
                <w:sz w:val="24"/>
                <w:szCs w:val="24"/>
                <w:lang w:val="uk-UA" w:eastAsia="ar-SA"/>
              </w:rPr>
              <w:t>539</w:t>
            </w:r>
            <w:r w:rsidRPr="00744B29">
              <w:rPr>
                <w:sz w:val="24"/>
                <w:szCs w:val="24"/>
                <w:lang w:val="uk-UA"/>
              </w:rPr>
              <w:t>, що дозволить зберегти обладнання в робочому стані, а</w:t>
            </w:r>
            <w:r w:rsidRPr="00744B29">
              <w:rPr>
                <w:sz w:val="24"/>
                <w:szCs w:val="24"/>
              </w:rPr>
              <w:t> </w:t>
            </w:r>
            <w:r w:rsidRPr="00744B29">
              <w:rPr>
                <w:sz w:val="24"/>
                <w:szCs w:val="24"/>
                <w:lang w:val="uk-UA"/>
              </w:rPr>
              <w:t xml:space="preserve">також забезпечить належний рівень технічної справності </w:t>
            </w:r>
            <w:r w:rsidR="004F2013">
              <w:rPr>
                <w:sz w:val="24"/>
                <w:szCs w:val="24"/>
                <w:lang w:val="uk-UA" w:eastAsia="ar-SA"/>
              </w:rPr>
              <w:t>дизель-генераторних установок</w:t>
            </w:r>
            <w:r w:rsidRPr="00744B29">
              <w:rPr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</w:tr>
      <w:tr w:rsidR="0078539A" w:rsidRPr="004776DE" w:rsidTr="001D5BA8">
        <w:trPr>
          <w:trHeight w:val="2116"/>
        </w:trPr>
        <w:tc>
          <w:tcPr>
            <w:tcW w:w="421" w:type="dxa"/>
            <w:shd w:val="clear" w:color="auto" w:fill="auto"/>
          </w:tcPr>
          <w:p w:rsidR="0078539A" w:rsidRPr="001D5BA8" w:rsidRDefault="0078539A" w:rsidP="0078539A">
            <w:pPr>
              <w:suppressAutoHyphens w:val="0"/>
              <w:rPr>
                <w:sz w:val="24"/>
                <w:szCs w:val="24"/>
                <w:lang w:val="uk-UA"/>
              </w:rPr>
            </w:pPr>
            <w:r w:rsidRPr="001D5BA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78539A" w:rsidRPr="001D5BA8" w:rsidRDefault="0078539A" w:rsidP="0078539A">
            <w:pPr>
              <w:suppressAutoHyphens w:val="0"/>
              <w:rPr>
                <w:b/>
                <w:sz w:val="24"/>
                <w:szCs w:val="24"/>
                <w:lang w:val="uk-UA"/>
              </w:rPr>
            </w:pPr>
            <w:r w:rsidRPr="001D5BA8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405" w:type="dxa"/>
            <w:shd w:val="clear" w:color="auto" w:fill="auto"/>
          </w:tcPr>
          <w:p w:rsidR="0078539A" w:rsidRPr="00744B29" w:rsidRDefault="0078539A" w:rsidP="004776DE">
            <w:pPr>
              <w:suppressAutoHyphens w:val="0"/>
              <w:jc w:val="both"/>
              <w:rPr>
                <w:sz w:val="24"/>
                <w:szCs w:val="24"/>
                <w:lang w:val="uk-UA"/>
              </w:rPr>
            </w:pPr>
            <w:r w:rsidRPr="004776DE">
              <w:rPr>
                <w:sz w:val="24"/>
                <w:szCs w:val="24"/>
                <w:lang w:val="uk-UA"/>
              </w:rPr>
              <w:t xml:space="preserve">Очікувана вартість предмета закупівлі </w:t>
            </w:r>
            <w:r w:rsidR="00442662">
              <w:rPr>
                <w:sz w:val="24"/>
                <w:szCs w:val="24"/>
                <w:lang w:val="uk-UA"/>
              </w:rPr>
              <w:t>(</w:t>
            </w:r>
            <w:r w:rsidR="004776DE">
              <w:rPr>
                <w:sz w:val="24"/>
                <w:szCs w:val="24"/>
                <w:lang w:val="uk-UA"/>
              </w:rPr>
              <w:t>п</w:t>
            </w:r>
            <w:r w:rsidRPr="004776DE">
              <w:rPr>
                <w:sz w:val="24"/>
                <w:szCs w:val="24"/>
                <w:lang w:val="uk-UA"/>
              </w:rPr>
              <w:t xml:space="preserve">ослуг з річного технічного обслуговування дизель-генератора </w:t>
            </w:r>
            <w:r w:rsidR="004776DE">
              <w:rPr>
                <w:sz w:val="24"/>
                <w:szCs w:val="24"/>
                <w:lang w:val="uk-UA"/>
              </w:rPr>
              <w:br/>
            </w:r>
            <w:proofErr w:type="spellStart"/>
            <w:r w:rsidRPr="00744B29">
              <w:rPr>
                <w:sz w:val="24"/>
                <w:szCs w:val="24"/>
              </w:rPr>
              <w:t>Wilson</w:t>
            </w:r>
            <w:proofErr w:type="spellEnd"/>
            <w:r w:rsidRPr="004776DE">
              <w:rPr>
                <w:sz w:val="24"/>
                <w:szCs w:val="24"/>
                <w:lang w:val="uk-UA"/>
              </w:rPr>
              <w:t xml:space="preserve"> </w:t>
            </w:r>
            <w:r w:rsidRPr="00744B29">
              <w:rPr>
                <w:sz w:val="24"/>
                <w:szCs w:val="24"/>
              </w:rPr>
              <w:t>P</w:t>
            </w:r>
            <w:r w:rsidRPr="004776DE">
              <w:rPr>
                <w:sz w:val="24"/>
                <w:szCs w:val="24"/>
                <w:lang w:val="uk-UA"/>
              </w:rPr>
              <w:t xml:space="preserve">330 </w:t>
            </w:r>
            <w:proofErr w:type="spellStart"/>
            <w:r w:rsidRPr="004776DE">
              <w:rPr>
                <w:sz w:val="24"/>
                <w:szCs w:val="24"/>
                <w:lang w:val="uk-UA"/>
              </w:rPr>
              <w:t>кВА</w:t>
            </w:r>
            <w:proofErr w:type="spellEnd"/>
            <w:r w:rsidRPr="004776DE">
              <w:rPr>
                <w:sz w:val="24"/>
                <w:szCs w:val="24"/>
                <w:lang w:val="uk-UA"/>
              </w:rPr>
              <w:t xml:space="preserve"> та пересувної дизельної електростанції потужністю 700 </w:t>
            </w:r>
            <w:proofErr w:type="spellStart"/>
            <w:r w:rsidRPr="004776DE">
              <w:rPr>
                <w:sz w:val="24"/>
                <w:szCs w:val="24"/>
                <w:lang w:val="uk-UA"/>
              </w:rPr>
              <w:t>кВА</w:t>
            </w:r>
            <w:proofErr w:type="spellEnd"/>
            <w:r w:rsidRPr="004776DE">
              <w:rPr>
                <w:sz w:val="24"/>
                <w:szCs w:val="24"/>
                <w:lang w:val="uk-UA"/>
              </w:rPr>
              <w:t xml:space="preserve"> М</w:t>
            </w:r>
            <w:r w:rsidRPr="00744B29">
              <w:rPr>
                <w:sz w:val="24"/>
                <w:szCs w:val="24"/>
              </w:rPr>
              <w:t>D</w:t>
            </w:r>
            <w:r w:rsidRPr="004776DE">
              <w:rPr>
                <w:sz w:val="24"/>
                <w:szCs w:val="24"/>
                <w:lang w:val="uk-UA"/>
              </w:rPr>
              <w:t>700</w:t>
            </w:r>
            <w:r w:rsidRPr="00744B29">
              <w:rPr>
                <w:sz w:val="24"/>
                <w:szCs w:val="24"/>
              </w:rPr>
              <w:t>P</w:t>
            </w:r>
            <w:r w:rsidRPr="004776DE">
              <w:rPr>
                <w:sz w:val="24"/>
                <w:szCs w:val="24"/>
                <w:lang w:val="uk-UA"/>
              </w:rPr>
              <w:t>)</w:t>
            </w:r>
            <w:r w:rsidR="004776DE">
              <w:rPr>
                <w:sz w:val="24"/>
                <w:szCs w:val="24"/>
                <w:lang w:val="uk-UA"/>
              </w:rPr>
              <w:t xml:space="preserve"> </w:t>
            </w:r>
            <w:r w:rsidRPr="004776DE">
              <w:rPr>
                <w:sz w:val="24"/>
                <w:szCs w:val="24"/>
                <w:lang w:val="uk-UA"/>
              </w:rPr>
              <w:t xml:space="preserve">розрахована на підставі отриманих комерційних пропозицій від </w:t>
            </w:r>
            <w:r w:rsidR="00442662">
              <w:rPr>
                <w:sz w:val="24"/>
                <w:szCs w:val="24"/>
                <w:lang w:val="uk-UA"/>
              </w:rPr>
              <w:t xml:space="preserve">потенційних </w:t>
            </w:r>
            <w:r w:rsidRPr="004776DE">
              <w:rPr>
                <w:sz w:val="24"/>
                <w:szCs w:val="24"/>
                <w:lang w:val="uk-UA"/>
              </w:rPr>
              <w:t>учасників відповідно до вимог наказу Міністерства розвитку економіки, торгівлі</w:t>
            </w:r>
            <w:r w:rsidR="004776DE">
              <w:rPr>
                <w:sz w:val="24"/>
                <w:szCs w:val="24"/>
                <w:lang w:val="uk-UA"/>
              </w:rPr>
              <w:t xml:space="preserve"> </w:t>
            </w:r>
            <w:r w:rsidRPr="004776DE">
              <w:rPr>
                <w:sz w:val="24"/>
                <w:szCs w:val="24"/>
                <w:lang w:val="uk-UA"/>
              </w:rPr>
              <w:t>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</w:t>
            </w:r>
            <w:r w:rsidR="00442662">
              <w:rPr>
                <w:sz w:val="24"/>
                <w:szCs w:val="24"/>
                <w:lang w:val="uk-UA"/>
              </w:rPr>
              <w:t>.</w:t>
            </w:r>
            <w:r w:rsidR="004776DE">
              <w:rPr>
                <w:sz w:val="24"/>
                <w:szCs w:val="24"/>
                <w:lang w:val="uk-UA"/>
              </w:rPr>
              <w:t xml:space="preserve"> </w:t>
            </w:r>
            <w:r w:rsidR="00442662">
              <w:rPr>
                <w:sz w:val="24"/>
                <w:szCs w:val="24"/>
                <w:lang w:val="uk-UA"/>
              </w:rPr>
              <w:t>З</w:t>
            </w:r>
            <w:r w:rsidRPr="004776DE">
              <w:rPr>
                <w:sz w:val="24"/>
                <w:szCs w:val="24"/>
                <w:lang w:val="uk-UA"/>
              </w:rPr>
              <w:t xml:space="preserve"> урахуванням обсягів</w:t>
            </w:r>
            <w:r w:rsidR="00442662">
              <w:rPr>
                <w:sz w:val="24"/>
                <w:szCs w:val="24"/>
                <w:lang w:val="uk-UA"/>
              </w:rPr>
              <w:t>,</w:t>
            </w:r>
            <w:r w:rsidRPr="004776DE">
              <w:rPr>
                <w:sz w:val="24"/>
                <w:szCs w:val="24"/>
                <w:lang w:val="uk-UA"/>
              </w:rPr>
              <w:t xml:space="preserve"> необхідних д</w:t>
            </w:r>
            <w:r w:rsidR="00442662">
              <w:rPr>
                <w:sz w:val="24"/>
                <w:szCs w:val="24"/>
                <w:lang w:val="uk-UA"/>
              </w:rPr>
              <w:t>ля надання послуг,</w:t>
            </w:r>
            <w:r w:rsidRPr="004776DE">
              <w:rPr>
                <w:sz w:val="24"/>
                <w:szCs w:val="24"/>
                <w:lang w:val="uk-UA"/>
              </w:rPr>
              <w:t xml:space="preserve"> здійснено розрахунок очікуваної вартості,</w:t>
            </w:r>
            <w:r w:rsidR="004776DE">
              <w:rPr>
                <w:sz w:val="24"/>
                <w:szCs w:val="24"/>
                <w:lang w:val="uk-UA"/>
              </w:rPr>
              <w:t xml:space="preserve"> </w:t>
            </w:r>
            <w:r w:rsidRPr="004776DE">
              <w:rPr>
                <w:sz w:val="24"/>
                <w:szCs w:val="24"/>
                <w:lang w:val="uk-UA"/>
              </w:rPr>
              <w:t>яка становить 148 300,00 гривень.</w:t>
            </w:r>
          </w:p>
        </w:tc>
      </w:tr>
    </w:tbl>
    <w:p w:rsidR="001D5BA8" w:rsidRDefault="001D5BA8" w:rsidP="001F480A">
      <w:pPr>
        <w:jc w:val="center"/>
        <w:rPr>
          <w:sz w:val="24"/>
          <w:szCs w:val="24"/>
          <w:lang w:val="uk-UA"/>
        </w:rPr>
      </w:pPr>
    </w:p>
    <w:p w:rsidR="001D5BA8" w:rsidRPr="00EA6204" w:rsidRDefault="001D5BA8" w:rsidP="001F480A">
      <w:pPr>
        <w:jc w:val="center"/>
        <w:rPr>
          <w:sz w:val="24"/>
          <w:szCs w:val="24"/>
          <w:lang w:val="uk-UA"/>
        </w:rPr>
      </w:pPr>
    </w:p>
    <w:p w:rsidR="00EA6204" w:rsidRDefault="00EA6204" w:rsidP="001F480A">
      <w:pPr>
        <w:jc w:val="center"/>
        <w:rPr>
          <w:sz w:val="24"/>
          <w:szCs w:val="24"/>
          <w:lang w:val="uk-UA"/>
        </w:rPr>
      </w:pPr>
    </w:p>
    <w:p w:rsidR="00413E1C" w:rsidRPr="00EA6204" w:rsidRDefault="00413E1C" w:rsidP="00A53A3E">
      <w:pPr>
        <w:rPr>
          <w:sz w:val="24"/>
          <w:szCs w:val="24"/>
          <w:lang w:val="uk-UA"/>
        </w:rPr>
      </w:pPr>
    </w:p>
    <w:sectPr w:rsidR="00413E1C" w:rsidRPr="00EA6204" w:rsidSect="00884D34">
      <w:headerReference w:type="default" r:id="rId6"/>
      <w:pgSz w:w="11906" w:h="16838"/>
      <w:pgMar w:top="850" w:right="70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74" w:rsidRPr="009F0774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52"/>
    <w:rsid w:val="000516B1"/>
    <w:rsid w:val="0005367C"/>
    <w:rsid w:val="00074096"/>
    <w:rsid w:val="00083E63"/>
    <w:rsid w:val="00130E24"/>
    <w:rsid w:val="00164CBD"/>
    <w:rsid w:val="001C5788"/>
    <w:rsid w:val="001D5BA8"/>
    <w:rsid w:val="001F480A"/>
    <w:rsid w:val="002D7ACF"/>
    <w:rsid w:val="0036439D"/>
    <w:rsid w:val="00413E1C"/>
    <w:rsid w:val="00442662"/>
    <w:rsid w:val="004776DE"/>
    <w:rsid w:val="004F2013"/>
    <w:rsid w:val="005F33C5"/>
    <w:rsid w:val="00651762"/>
    <w:rsid w:val="00651F08"/>
    <w:rsid w:val="006B3D3C"/>
    <w:rsid w:val="00744B29"/>
    <w:rsid w:val="00767D02"/>
    <w:rsid w:val="0078539A"/>
    <w:rsid w:val="00836050"/>
    <w:rsid w:val="00884D34"/>
    <w:rsid w:val="008F348A"/>
    <w:rsid w:val="00993941"/>
    <w:rsid w:val="009A529D"/>
    <w:rsid w:val="009B39B6"/>
    <w:rsid w:val="009F0774"/>
    <w:rsid w:val="00A21AAD"/>
    <w:rsid w:val="00A53A3E"/>
    <w:rsid w:val="00A83DBA"/>
    <w:rsid w:val="00A969A8"/>
    <w:rsid w:val="00AF7D3D"/>
    <w:rsid w:val="00B45CE1"/>
    <w:rsid w:val="00BA4F9C"/>
    <w:rsid w:val="00BB4E5B"/>
    <w:rsid w:val="00C27957"/>
    <w:rsid w:val="00C63420"/>
    <w:rsid w:val="00CA44A4"/>
    <w:rsid w:val="00CB6A99"/>
    <w:rsid w:val="00D31052"/>
    <w:rsid w:val="00D41F88"/>
    <w:rsid w:val="00E0551D"/>
    <w:rsid w:val="00E507D2"/>
    <w:rsid w:val="00EA5668"/>
    <w:rsid w:val="00EA6204"/>
    <w:rsid w:val="00EB634B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F8E2"/>
  <w15:docId w15:val="{C8E58A35-B8A2-4DA5-89FD-8CCEA40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БРАНІЦЬКИЙ ВІКТОР ВІТАЛІЙОВИЧ</cp:lastModifiedBy>
  <cp:revision>26</cp:revision>
  <cp:lastPrinted>2026-04-07T07:32:00Z</cp:lastPrinted>
  <dcterms:created xsi:type="dcterms:W3CDTF">2024-11-13T16:27:00Z</dcterms:created>
  <dcterms:modified xsi:type="dcterms:W3CDTF">2026-04-07T07:44:00Z</dcterms:modified>
</cp:coreProperties>
</file>