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8F4" w:rsidRPr="002D1CE6" w:rsidRDefault="007078F4" w:rsidP="007078F4">
      <w:pPr>
        <w:pStyle w:val="a3"/>
        <w:shd w:val="clear" w:color="auto" w:fill="FFFFFF"/>
        <w:spacing w:before="0" w:beforeAutospacing="0" w:after="0" w:afterAutospacing="0"/>
        <w:jc w:val="center"/>
        <w:textAlignment w:val="baseline"/>
        <w:rPr>
          <w:bCs/>
          <w:sz w:val="28"/>
          <w:szCs w:val="28"/>
          <w:lang w:val="uk-UA"/>
        </w:rPr>
      </w:pPr>
      <w:r w:rsidRPr="002D1CE6">
        <w:rPr>
          <w:bCs/>
          <w:sz w:val="28"/>
          <w:szCs w:val="28"/>
          <w:lang w:val="uk-UA"/>
        </w:rPr>
        <w:t xml:space="preserve">Додаткові матеріали до </w:t>
      </w:r>
    </w:p>
    <w:p w:rsidR="007078F4" w:rsidRPr="002D1CE6" w:rsidRDefault="007078F4" w:rsidP="007078F4">
      <w:pPr>
        <w:pStyle w:val="a3"/>
        <w:shd w:val="clear" w:color="auto" w:fill="FFFFFF"/>
        <w:spacing w:before="0" w:beforeAutospacing="0" w:after="0" w:afterAutospacing="0"/>
        <w:jc w:val="center"/>
        <w:textAlignment w:val="baseline"/>
        <w:rPr>
          <w:color w:val="000000"/>
          <w:sz w:val="28"/>
          <w:szCs w:val="28"/>
          <w:lang w:val="uk-UA"/>
        </w:rPr>
      </w:pPr>
      <w:r w:rsidRPr="002D1CE6">
        <w:rPr>
          <w:bCs/>
          <w:sz w:val="28"/>
          <w:szCs w:val="28"/>
          <w:lang w:val="uk-UA"/>
        </w:rPr>
        <w:t xml:space="preserve">звіту </w:t>
      </w:r>
      <w:r w:rsidRPr="002D1CE6">
        <w:rPr>
          <w:sz w:val="28"/>
          <w:szCs w:val="28"/>
          <w:shd w:val="clear" w:color="auto" w:fill="FFFFFF"/>
          <w:lang w:val="uk-UA"/>
        </w:rPr>
        <w:t>за результатами публічного обговорення</w:t>
      </w:r>
      <w:r w:rsidRPr="002D1CE6">
        <w:rPr>
          <w:color w:val="000000"/>
          <w:sz w:val="28"/>
          <w:szCs w:val="28"/>
          <w:lang w:val="uk-UA"/>
        </w:rPr>
        <w:t xml:space="preserve"> </w:t>
      </w:r>
      <w:proofErr w:type="spellStart"/>
      <w:r w:rsidRPr="002D1CE6">
        <w:rPr>
          <w:color w:val="000000"/>
          <w:sz w:val="28"/>
          <w:szCs w:val="28"/>
          <w:lang w:val="uk-UA"/>
        </w:rPr>
        <w:t>проєкту</w:t>
      </w:r>
      <w:proofErr w:type="spellEnd"/>
      <w:r w:rsidRPr="002D1CE6">
        <w:rPr>
          <w:color w:val="000000"/>
          <w:sz w:val="28"/>
          <w:szCs w:val="28"/>
          <w:lang w:val="uk-UA"/>
        </w:rPr>
        <w:t xml:space="preserve"> Антикорупційної програми Державної податкової служби України  на 2026 – 2028 роки</w:t>
      </w:r>
    </w:p>
    <w:p w:rsidR="007078F4" w:rsidRPr="002D1CE6" w:rsidRDefault="007078F4" w:rsidP="007078F4">
      <w:pPr>
        <w:spacing w:after="0" w:line="240" w:lineRule="auto"/>
        <w:jc w:val="center"/>
        <w:rPr>
          <w:rFonts w:ascii="Times New Roman" w:eastAsia="Times New Roman" w:hAnsi="Times New Roman" w:cs="Times New Roman"/>
          <w:bCs/>
          <w:sz w:val="28"/>
          <w:szCs w:val="28"/>
          <w:lang w:val="uk-UA"/>
        </w:rPr>
      </w:pPr>
    </w:p>
    <w:p w:rsidR="007078F4" w:rsidRPr="002D1CE6" w:rsidRDefault="007078F4" w:rsidP="007078F4">
      <w:pPr>
        <w:spacing w:after="0" w:line="240" w:lineRule="auto"/>
        <w:jc w:val="center"/>
        <w:rPr>
          <w:rFonts w:ascii="Times New Roman" w:hAnsi="Times New Roman" w:cs="Times New Roman"/>
          <w:bCs/>
          <w:sz w:val="28"/>
          <w:szCs w:val="28"/>
          <w:lang w:val="uk-UA"/>
        </w:rPr>
      </w:pP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3397"/>
        <w:gridCol w:w="3061"/>
        <w:gridCol w:w="3176"/>
      </w:tblGrid>
      <w:tr w:rsidR="007078F4" w:rsidRPr="002D1CE6" w:rsidTr="007078F4">
        <w:trPr>
          <w:tblHeader/>
        </w:trPr>
        <w:tc>
          <w:tcPr>
            <w:tcW w:w="3397" w:type="dxa"/>
          </w:tcPr>
          <w:p w:rsidR="007078F4" w:rsidRPr="002D1CE6" w:rsidRDefault="007078F4" w:rsidP="00F149C2">
            <w:pPr>
              <w:pStyle w:val="a3"/>
              <w:spacing w:before="0" w:beforeAutospacing="0" w:after="0" w:afterAutospacing="0"/>
              <w:jc w:val="both"/>
              <w:rPr>
                <w:bCs/>
                <w:sz w:val="28"/>
                <w:szCs w:val="28"/>
                <w:lang w:val="uk-UA"/>
              </w:rPr>
            </w:pPr>
            <w:r w:rsidRPr="002D1CE6">
              <w:rPr>
                <w:bCs/>
                <w:sz w:val="28"/>
                <w:szCs w:val="28"/>
                <w:lang w:val="uk-UA"/>
              </w:rPr>
              <w:t>Поточна редакція</w:t>
            </w:r>
          </w:p>
        </w:tc>
        <w:tc>
          <w:tcPr>
            <w:tcW w:w="3061" w:type="dxa"/>
          </w:tcPr>
          <w:p w:rsidR="007078F4" w:rsidRPr="002D1CE6" w:rsidRDefault="007078F4" w:rsidP="00F149C2">
            <w:pPr>
              <w:pStyle w:val="a3"/>
              <w:spacing w:before="0" w:beforeAutospacing="0" w:after="0" w:afterAutospacing="0"/>
              <w:rPr>
                <w:bCs/>
                <w:sz w:val="28"/>
                <w:szCs w:val="28"/>
                <w:lang w:val="uk-UA"/>
              </w:rPr>
            </w:pPr>
            <w:r w:rsidRPr="002D1CE6">
              <w:rPr>
                <w:bCs/>
                <w:sz w:val="28"/>
                <w:szCs w:val="28"/>
                <w:lang w:val="uk-UA"/>
              </w:rPr>
              <w:t>Пропозиції учасників публічного обговорення</w:t>
            </w:r>
          </w:p>
        </w:tc>
        <w:tc>
          <w:tcPr>
            <w:tcW w:w="3176" w:type="dxa"/>
          </w:tcPr>
          <w:p w:rsidR="007078F4" w:rsidRPr="002D1CE6" w:rsidRDefault="007078F4" w:rsidP="00F149C2">
            <w:pPr>
              <w:pStyle w:val="a3"/>
              <w:spacing w:before="0" w:beforeAutospacing="0" w:after="0" w:afterAutospacing="0"/>
              <w:jc w:val="both"/>
              <w:rPr>
                <w:bCs/>
                <w:sz w:val="28"/>
                <w:szCs w:val="28"/>
                <w:lang w:val="uk-UA"/>
              </w:rPr>
            </w:pPr>
            <w:r w:rsidRPr="002D1CE6">
              <w:rPr>
                <w:bCs/>
                <w:sz w:val="28"/>
                <w:szCs w:val="28"/>
                <w:lang w:val="uk-UA"/>
              </w:rPr>
              <w:t>Результати врахування пропозицій</w:t>
            </w:r>
          </w:p>
        </w:tc>
      </w:tr>
      <w:tr w:rsidR="007078F4" w:rsidRPr="002D1CE6" w:rsidTr="00F149C2">
        <w:tc>
          <w:tcPr>
            <w:tcW w:w="9634" w:type="dxa"/>
            <w:gridSpan w:val="3"/>
          </w:tcPr>
          <w:p w:rsidR="007078F4" w:rsidRPr="002D1CE6" w:rsidRDefault="007078F4" w:rsidP="007078F4">
            <w:pPr>
              <w:pStyle w:val="a3"/>
              <w:numPr>
                <w:ilvl w:val="0"/>
                <w:numId w:val="1"/>
              </w:numPr>
              <w:spacing w:before="0" w:beforeAutospacing="0" w:after="0" w:afterAutospacing="0"/>
              <w:jc w:val="center"/>
              <w:rPr>
                <w:sz w:val="28"/>
                <w:szCs w:val="28"/>
                <w:lang w:val="uk-UA"/>
              </w:rPr>
            </w:pPr>
            <w:r w:rsidRPr="002D1CE6">
              <w:rPr>
                <w:sz w:val="28"/>
                <w:szCs w:val="28"/>
                <w:lang w:val="uk-UA"/>
              </w:rPr>
              <w:t xml:space="preserve">Керівник проекту «Податковий вісник України» </w:t>
            </w:r>
            <w:r w:rsidRPr="002D1CE6">
              <w:rPr>
                <w:bCs/>
                <w:sz w:val="28"/>
                <w:szCs w:val="28"/>
                <w:lang w:val="uk-UA"/>
              </w:rPr>
              <w:t xml:space="preserve">Ігор </w:t>
            </w:r>
            <w:proofErr w:type="spellStart"/>
            <w:r w:rsidRPr="002D1CE6">
              <w:rPr>
                <w:bCs/>
                <w:sz w:val="28"/>
                <w:szCs w:val="28"/>
                <w:lang w:val="uk-UA"/>
              </w:rPr>
              <w:t>Сухомлин</w:t>
            </w:r>
            <w:proofErr w:type="spellEnd"/>
          </w:p>
        </w:tc>
      </w:tr>
      <w:tr w:rsidR="007078F4" w:rsidRPr="002D1CE6" w:rsidTr="00F149C2">
        <w:tc>
          <w:tcPr>
            <w:tcW w:w="3397"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Пункт 7, захід впливу на корупційний ризик, індикатор виконання. Удосконалення </w:t>
            </w:r>
            <w:proofErr w:type="spellStart"/>
            <w:r w:rsidRPr="002D1CE6">
              <w:rPr>
                <w:sz w:val="28"/>
                <w:szCs w:val="28"/>
                <w:lang w:val="uk-UA"/>
              </w:rPr>
              <w:t>ризикорієнтованої</w:t>
            </w:r>
            <w:proofErr w:type="spellEnd"/>
            <w:r w:rsidRPr="002D1CE6">
              <w:rPr>
                <w:sz w:val="28"/>
                <w:szCs w:val="28"/>
                <w:lang w:val="uk-UA"/>
              </w:rPr>
              <w:t xml:space="preserve"> системи відбору платників податків до перевірок, яка використовується під час формування плану-графіка перевірок, що забезпечить мінімізацію людського впливу на процес планування перевірок</w:t>
            </w:r>
          </w:p>
        </w:tc>
        <w:tc>
          <w:tcPr>
            <w:tcW w:w="3061"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У пункті 7 Реєстру ризиків передбачається захід впливу на корупційний ризик «втручання в аналіз результатів розрахунків ризиків у частині несплати податків, зборів, внесків та інших платежів для відбору платників податків до документальних планових перевірок», що полягає в удосконаленні </w:t>
            </w:r>
            <w:proofErr w:type="spellStart"/>
            <w:r w:rsidRPr="002D1CE6">
              <w:rPr>
                <w:sz w:val="28"/>
                <w:szCs w:val="28"/>
                <w:lang w:val="uk-UA"/>
              </w:rPr>
              <w:t>ризикорієнтованої</w:t>
            </w:r>
            <w:proofErr w:type="spellEnd"/>
            <w:r w:rsidRPr="002D1CE6">
              <w:rPr>
                <w:sz w:val="28"/>
                <w:szCs w:val="28"/>
                <w:lang w:val="uk-UA"/>
              </w:rPr>
              <w:t xml:space="preserve"> системи відбору платників податків до перевірок, яка використовується під час формування плану-графіка перевірок, що забезпечить мінімізацію людського впливу на процес планування перевірок. Водночас зі змісту заходу не вбачається, що саме передбачає таке «удосконалення», а ідентифікатор виконання визначено – за потреби. За таких обставин вказаний захід потребує конкретизації.</w:t>
            </w:r>
          </w:p>
        </w:tc>
        <w:tc>
          <w:tcPr>
            <w:tcW w:w="3176" w:type="dxa"/>
          </w:tcPr>
          <w:p w:rsidR="007078F4" w:rsidRPr="002D1CE6" w:rsidRDefault="007078F4" w:rsidP="00F149C2">
            <w:pPr>
              <w:pStyle w:val="a3"/>
              <w:spacing w:before="0" w:beforeAutospacing="0" w:after="0" w:afterAutospacing="0"/>
              <w:jc w:val="both"/>
              <w:rPr>
                <w:sz w:val="28"/>
                <w:szCs w:val="28"/>
                <w:lang w:val="uk-UA"/>
              </w:rPr>
            </w:pPr>
            <w:r w:rsidRPr="002D1CE6">
              <w:rPr>
                <w:b/>
                <w:bCs/>
                <w:sz w:val="28"/>
                <w:szCs w:val="28"/>
                <w:lang w:val="uk-UA"/>
              </w:rPr>
              <w:t>Враховано</w:t>
            </w:r>
            <w:r w:rsidRPr="002D1CE6">
              <w:rPr>
                <w:sz w:val="28"/>
                <w:szCs w:val="28"/>
                <w:lang w:val="uk-UA"/>
              </w:rPr>
              <w:t>, редакцію заходу впливу пропонується змінити на: «Підготовка та надання пропозицій щодо змін до нормативно-</w:t>
            </w:r>
            <w:proofErr w:type="spellStart"/>
            <w:r w:rsidRPr="002D1CE6">
              <w:rPr>
                <w:sz w:val="28"/>
                <w:szCs w:val="28"/>
                <w:lang w:val="uk-UA"/>
              </w:rPr>
              <w:t>правовових</w:t>
            </w:r>
            <w:proofErr w:type="spellEnd"/>
            <w:r w:rsidRPr="002D1CE6">
              <w:rPr>
                <w:sz w:val="28"/>
                <w:szCs w:val="28"/>
                <w:lang w:val="uk-UA"/>
              </w:rPr>
              <w:t xml:space="preserve"> та/або інших законодавчих актів щодо вдосконалення </w:t>
            </w:r>
            <w:proofErr w:type="spellStart"/>
            <w:r w:rsidRPr="002D1CE6">
              <w:rPr>
                <w:sz w:val="28"/>
                <w:szCs w:val="28"/>
                <w:lang w:val="uk-UA"/>
              </w:rPr>
              <w:t>ризикорієнтованої</w:t>
            </w:r>
            <w:proofErr w:type="spellEnd"/>
            <w:r w:rsidRPr="002D1CE6">
              <w:rPr>
                <w:sz w:val="28"/>
                <w:szCs w:val="28"/>
                <w:lang w:val="uk-UA"/>
              </w:rPr>
              <w:t xml:space="preserve"> системи відбору платників податків до перевірок, яка використовується під час формування плану-графіка перевірок, що забезпечить мінімізацію людського впливу на процес планування перевірок», а індикатор виконання на «пропозиції надіслано Міністерству фінансів України».</w:t>
            </w:r>
          </w:p>
          <w:p w:rsidR="007078F4" w:rsidRPr="002D1CE6" w:rsidRDefault="007078F4" w:rsidP="00F149C2">
            <w:pPr>
              <w:pStyle w:val="a3"/>
              <w:spacing w:before="0" w:beforeAutospacing="0" w:after="0" w:afterAutospacing="0"/>
              <w:jc w:val="both"/>
              <w:rPr>
                <w:sz w:val="28"/>
                <w:szCs w:val="28"/>
                <w:lang w:val="uk-UA"/>
              </w:rPr>
            </w:pPr>
          </w:p>
        </w:tc>
      </w:tr>
      <w:tr w:rsidR="007078F4" w:rsidRPr="002D1CE6" w:rsidTr="00F149C2">
        <w:tc>
          <w:tcPr>
            <w:tcW w:w="9634" w:type="dxa"/>
            <w:gridSpan w:val="3"/>
          </w:tcPr>
          <w:p w:rsidR="007078F4" w:rsidRPr="002D1CE6" w:rsidRDefault="007078F4" w:rsidP="007078F4">
            <w:pPr>
              <w:pStyle w:val="a3"/>
              <w:numPr>
                <w:ilvl w:val="0"/>
                <w:numId w:val="1"/>
              </w:numPr>
              <w:spacing w:before="0" w:beforeAutospacing="0" w:after="0" w:afterAutospacing="0"/>
              <w:jc w:val="center"/>
              <w:rPr>
                <w:sz w:val="28"/>
                <w:szCs w:val="28"/>
                <w:lang w:val="uk-UA"/>
              </w:rPr>
            </w:pPr>
            <w:proofErr w:type="spellStart"/>
            <w:r w:rsidRPr="002D1CE6">
              <w:rPr>
                <w:sz w:val="28"/>
                <w:szCs w:val="28"/>
                <w:lang w:val="uk-UA"/>
              </w:rPr>
              <w:lastRenderedPageBreak/>
              <w:t>Менеджерка</w:t>
            </w:r>
            <w:proofErr w:type="spellEnd"/>
            <w:r w:rsidRPr="002D1CE6">
              <w:rPr>
                <w:sz w:val="28"/>
                <w:szCs w:val="28"/>
                <w:lang w:val="uk-UA"/>
              </w:rPr>
              <w:t xml:space="preserve"> податкового та митного комітетів Європейської Бізнес Асоціації Наталія Артемчук</w:t>
            </w:r>
          </w:p>
        </w:tc>
      </w:tr>
      <w:tr w:rsidR="007078F4" w:rsidRPr="002D1CE6" w:rsidTr="00F149C2">
        <w:tc>
          <w:tcPr>
            <w:tcW w:w="3397"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Пункт 12, корупційний ризик. Можливість здійснення впливу посадовими особами ДПС та іншими особами на процес діяльності комісії з питань зупинення реєстрації податкової накладної / розрахунку коригування в Єдиному реєстрі податк</w:t>
            </w:r>
            <w:bookmarkStart w:id="0" w:name="_GoBack"/>
            <w:bookmarkEnd w:id="0"/>
            <w:r w:rsidRPr="002D1CE6">
              <w:rPr>
                <w:sz w:val="28"/>
                <w:szCs w:val="28"/>
                <w:lang w:val="uk-UA"/>
              </w:rPr>
              <w:t>ових накладних ДПС та прийняття нею рішень; організація роботи щодо прийняття рішення про неврахування таблиці даних платника податку на додану вартість, а також розгляду скарг на рішення комісії регіонального рівня.</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Пункт 13, корупційний ризик. Можливість здійснення впливу посадовими особами ДПС та іншими особами на процес моніторингу фінансово-господарських операцій платників податків, відображених в ПН / РК, поданих на реєстрацію в ЄРПН.</w:t>
            </w:r>
          </w:p>
        </w:tc>
        <w:tc>
          <w:tcPr>
            <w:tcW w:w="3061" w:type="dxa"/>
          </w:tcPr>
          <w:p w:rsidR="007078F4" w:rsidRPr="002D1CE6" w:rsidRDefault="007078F4" w:rsidP="00F149C2">
            <w:pPr>
              <w:pStyle w:val="a3"/>
              <w:jc w:val="both"/>
              <w:rPr>
                <w:sz w:val="28"/>
                <w:szCs w:val="28"/>
                <w:lang w:val="uk-UA"/>
              </w:rPr>
            </w:pPr>
            <w:r w:rsidRPr="002D1CE6">
              <w:rPr>
                <w:sz w:val="28"/>
                <w:szCs w:val="28"/>
                <w:lang w:val="uk-UA"/>
              </w:rPr>
              <w:t xml:space="preserve">Антикорупційна програма Державної податкової служби України на 2026 – 2028 роки повинна містити не формальні пункти про імовірність ризиків, а реальні методи боротьби з корупцією. Пропонується доповнити програму конкретними пунктами, як буде антикорупційний підрозділ ДПС розглядати скарги на неправомірні дії конкретних податківців, що неправомірно блокували податкові накладні, або склали акти перевірки, результати яких були оскаржені в суді на користь платника податків. </w:t>
            </w:r>
          </w:p>
          <w:p w:rsidR="007078F4" w:rsidRPr="002D1CE6" w:rsidRDefault="007078F4" w:rsidP="00F149C2">
            <w:pPr>
              <w:pStyle w:val="a3"/>
              <w:jc w:val="both"/>
              <w:rPr>
                <w:sz w:val="28"/>
                <w:szCs w:val="28"/>
                <w:lang w:val="uk-UA"/>
              </w:rPr>
            </w:pPr>
            <w:r w:rsidRPr="002D1CE6">
              <w:rPr>
                <w:sz w:val="28"/>
                <w:szCs w:val="28"/>
                <w:lang w:val="uk-UA"/>
              </w:rPr>
              <w:t>Передбачити порядок розгляду таких випадків неправомірного тиску на бізнес, способи покарання винних. Таким чином можна буде побороти кругову поруку всередині податкової служби.</w:t>
            </w:r>
          </w:p>
          <w:p w:rsidR="007078F4" w:rsidRPr="002D1CE6" w:rsidRDefault="007078F4" w:rsidP="00F149C2">
            <w:pPr>
              <w:pStyle w:val="a3"/>
              <w:jc w:val="both"/>
              <w:rPr>
                <w:sz w:val="28"/>
                <w:szCs w:val="28"/>
                <w:lang w:val="uk-UA"/>
              </w:rPr>
            </w:pPr>
            <w:r w:rsidRPr="002D1CE6">
              <w:rPr>
                <w:sz w:val="28"/>
                <w:szCs w:val="28"/>
                <w:lang w:val="uk-UA"/>
              </w:rPr>
              <w:lastRenderedPageBreak/>
              <w:t xml:space="preserve">Лише персональна відповідальність кожного державного службовця за неправомірні дії чи бездіяльність змусить змінити методи роботи і оздоровити ситуацію з корупцією в країні. Корупція – це не тільки хабарі, це зловживання своїм посадовим становищем. Наразі податківці зацікавленні, задля виконання планових показників надходжень, неправомірно </w:t>
            </w:r>
            <w:proofErr w:type="spellStart"/>
            <w:r w:rsidRPr="002D1CE6">
              <w:rPr>
                <w:sz w:val="28"/>
                <w:szCs w:val="28"/>
                <w:lang w:val="uk-UA"/>
              </w:rPr>
              <w:t>донараховувати</w:t>
            </w:r>
            <w:proofErr w:type="spellEnd"/>
            <w:r w:rsidRPr="002D1CE6">
              <w:rPr>
                <w:sz w:val="28"/>
                <w:szCs w:val="28"/>
                <w:lang w:val="uk-UA"/>
              </w:rPr>
              <w:t xml:space="preserve"> податки у актах перевірок, або позбавляти права на реєстрацію податкових накладних. За кожну неправомірну дію має бути передбачене антикорупційне розслідування і покарання порушника.</w:t>
            </w:r>
          </w:p>
          <w:p w:rsidR="007078F4" w:rsidRPr="002D1CE6" w:rsidRDefault="007078F4" w:rsidP="00F149C2">
            <w:pPr>
              <w:pStyle w:val="a3"/>
              <w:spacing w:before="0" w:beforeAutospacing="0" w:after="0" w:afterAutospacing="0"/>
              <w:jc w:val="both"/>
              <w:rPr>
                <w:sz w:val="28"/>
                <w:szCs w:val="28"/>
                <w:lang w:val="uk-UA"/>
              </w:rPr>
            </w:pPr>
          </w:p>
        </w:tc>
        <w:tc>
          <w:tcPr>
            <w:tcW w:w="3176" w:type="dxa"/>
          </w:tcPr>
          <w:p w:rsidR="007078F4" w:rsidRPr="002D1CE6" w:rsidRDefault="007078F4" w:rsidP="00F149C2">
            <w:pPr>
              <w:pStyle w:val="a3"/>
              <w:spacing w:before="0" w:beforeAutospacing="0" w:after="0" w:afterAutospacing="0"/>
              <w:jc w:val="both"/>
              <w:rPr>
                <w:sz w:val="28"/>
                <w:szCs w:val="28"/>
                <w:lang w:val="uk-UA"/>
              </w:rPr>
            </w:pPr>
            <w:r w:rsidRPr="002D1CE6">
              <w:rPr>
                <w:b/>
                <w:bCs/>
                <w:sz w:val="28"/>
                <w:szCs w:val="28"/>
                <w:lang w:val="uk-UA"/>
              </w:rPr>
              <w:lastRenderedPageBreak/>
              <w:t>Враховано частково</w:t>
            </w:r>
            <w:r w:rsidRPr="002D1CE6">
              <w:rPr>
                <w:sz w:val="28"/>
                <w:szCs w:val="28"/>
                <w:lang w:val="uk-UA"/>
              </w:rPr>
              <w:t xml:space="preserve">, у пункті 13 пропонується додатково передбачити такі заходи впливу: «1. Перегляд системних процедур </w:t>
            </w:r>
            <w:proofErr w:type="spellStart"/>
            <w:r w:rsidRPr="002D1CE6">
              <w:rPr>
                <w:sz w:val="28"/>
                <w:szCs w:val="28"/>
                <w:lang w:val="uk-UA"/>
              </w:rPr>
              <w:t>правозастосовчої</w:t>
            </w:r>
            <w:proofErr w:type="spellEnd"/>
            <w:r w:rsidRPr="002D1CE6">
              <w:rPr>
                <w:sz w:val="28"/>
                <w:szCs w:val="28"/>
                <w:lang w:val="uk-UA"/>
              </w:rPr>
              <w:t xml:space="preserve"> практики з питань зупинення реєстрації податкової накладної / розрахунку коригування в Єдиному реєстрі податкових накладних з урахуванням судової практики та консультацій з представниками бізнес асоціацій та (або) незалежними експертами.</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2. Підготовка та надання пропозицій щодо змін до нормативно-</w:t>
            </w:r>
            <w:proofErr w:type="spellStart"/>
            <w:r w:rsidRPr="002D1CE6">
              <w:rPr>
                <w:sz w:val="28"/>
                <w:szCs w:val="28"/>
                <w:lang w:val="uk-UA"/>
              </w:rPr>
              <w:t>правовових</w:t>
            </w:r>
            <w:proofErr w:type="spellEnd"/>
            <w:r w:rsidRPr="002D1CE6">
              <w:rPr>
                <w:sz w:val="28"/>
                <w:szCs w:val="28"/>
                <w:lang w:val="uk-UA"/>
              </w:rPr>
              <w:t xml:space="preserve"> та/або інших законодавчих актів щодо вдосконалення механізму оцінки ступеня ризиків порушень податкового законодавства для підвищення ефективності їх запобігання з питань зупинення реєстрації податкової накладної / розрахунку коригування в Єдиному реєстрі податкових накладних.</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3. Інформування платників податків про </w:t>
            </w:r>
            <w:r w:rsidRPr="002D1CE6">
              <w:rPr>
                <w:sz w:val="28"/>
                <w:szCs w:val="28"/>
                <w:lang w:val="uk-UA"/>
              </w:rPr>
              <w:lastRenderedPageBreak/>
              <w:t xml:space="preserve">контрагентів, які відповідають критеріям ризиковості платника податку (за їх згодою), шляхом подання платниками податку відповідного запиту через власний електронний кабінет до податкових </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органів.</w:t>
            </w:r>
          </w:p>
          <w:p w:rsidR="007078F4" w:rsidRPr="002D1CE6" w:rsidRDefault="007078F4" w:rsidP="007078F4">
            <w:pPr>
              <w:pStyle w:val="a3"/>
              <w:numPr>
                <w:ilvl w:val="0"/>
                <w:numId w:val="1"/>
              </w:numPr>
              <w:spacing w:before="0" w:beforeAutospacing="0" w:after="0" w:afterAutospacing="0"/>
              <w:ind w:left="0" w:firstLine="0"/>
              <w:jc w:val="both"/>
              <w:rPr>
                <w:sz w:val="28"/>
                <w:szCs w:val="28"/>
                <w:lang w:val="uk-UA"/>
              </w:rPr>
            </w:pPr>
            <w:r w:rsidRPr="002D1CE6">
              <w:rPr>
                <w:sz w:val="28"/>
                <w:szCs w:val="28"/>
                <w:lang w:val="uk-UA"/>
              </w:rPr>
              <w:t xml:space="preserve">Оприлюднення на </w:t>
            </w:r>
            <w:proofErr w:type="spellStart"/>
            <w:r w:rsidRPr="002D1CE6">
              <w:rPr>
                <w:sz w:val="28"/>
                <w:szCs w:val="28"/>
                <w:lang w:val="uk-UA"/>
              </w:rPr>
              <w:t>вебпорталі</w:t>
            </w:r>
            <w:proofErr w:type="spellEnd"/>
            <w:r w:rsidRPr="002D1CE6">
              <w:rPr>
                <w:sz w:val="28"/>
                <w:szCs w:val="28"/>
                <w:lang w:val="uk-UA"/>
              </w:rPr>
              <w:t xml:space="preserve"> ДПС інформації щодо показників за результатами проведення автоматизованого моніторингу відповідності податкових накладних / розрахунків коригування критеріям оцінки ступеня ризиків».</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У пункті 12 пропонується додатково передбачити такі заходи впливу: «1. Перегляд системних процедур </w:t>
            </w:r>
            <w:proofErr w:type="spellStart"/>
            <w:r w:rsidRPr="002D1CE6">
              <w:rPr>
                <w:sz w:val="28"/>
                <w:szCs w:val="28"/>
                <w:lang w:val="uk-UA"/>
              </w:rPr>
              <w:t>правозастосовчої</w:t>
            </w:r>
            <w:proofErr w:type="spellEnd"/>
            <w:r w:rsidRPr="002D1CE6">
              <w:rPr>
                <w:sz w:val="28"/>
                <w:szCs w:val="28"/>
                <w:lang w:val="uk-UA"/>
              </w:rPr>
              <w:t xml:space="preserve"> практики з питань діяльності комісій з питань зупинення реєстрації податкової накладної / розрахунку коригування в Єдиному реєстрі податкових накладних з урахуванням судової практики та консультацій з представниками бізнес </w:t>
            </w:r>
            <w:r w:rsidRPr="002D1CE6">
              <w:rPr>
                <w:sz w:val="28"/>
                <w:szCs w:val="28"/>
                <w:lang w:val="uk-UA"/>
              </w:rPr>
              <w:lastRenderedPageBreak/>
              <w:t>асоціацій та (або) незалежними експертами.</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2. Підготовка та надання пропозицій щодо змін до нормативно-правових та/або інших законодавчих актів щодо вдосконалення механізму оцінки ступеня ризиків порушень податкового законодавства для підвищення ефективності їх запобігання з питань діяльності комісій з питань зупинення реєстрації податкової накладної / розрахунку коригування в Єдиному реєстрі податкових накладних.</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3. Забезпечення можливості платникам ПДВ звернутися на єдину гарячу лінію ДПС України, в тому числі територіальних органів ДПС, щодо отримання консультацій з питань зупинення реєстрації податкової накладної / розрахунку коригування в Єдиному реєстрі податкових накладних.».</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Згідно із пунктом 12 Реєстру корупційних  ризиків передбачено запровадження додаткових заходів </w:t>
            </w:r>
            <w:r w:rsidRPr="002D1CE6">
              <w:rPr>
                <w:sz w:val="28"/>
                <w:szCs w:val="28"/>
                <w:lang w:val="uk-UA"/>
              </w:rPr>
              <w:lastRenderedPageBreak/>
              <w:t>контролю за прийнятими комісією з питань зупинення реєстрації податкової накладної / розрахунку коригування в Єдиному реєстрі податкових накладних ДПС (комісією  центрального рівня) рішеннями, додаткових заходів контролю за рішеннями прийнятими комісією центрального рівня та  регіонального рівня з питань зупинення реєстрації податкової накладної/розрахунку коригування в ЄРПН ДПС, щодо неврахування таблиці даних платника податку на додану вартість,  шляхом залучення працівників уповноваженого підрозділу з питань запобігання корупції в ДПС до перевірок інформації, щодо можливого порушення членами комісії вимог антикорупційного законодавства, в тому числі, на предмет виявлення приватного інтересу.</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Згідно із пунктом 16 Реєстру корупційних  ризиків передбачено запровадження</w:t>
            </w:r>
            <w:r w:rsidRPr="002D1CE6">
              <w:rPr>
                <w:lang w:val="uk-UA"/>
              </w:rPr>
              <w:t xml:space="preserve"> </w:t>
            </w:r>
            <w:r w:rsidRPr="002D1CE6">
              <w:rPr>
                <w:sz w:val="28"/>
                <w:szCs w:val="28"/>
                <w:lang w:val="uk-UA"/>
              </w:rPr>
              <w:t xml:space="preserve">додаткових заходів </w:t>
            </w:r>
            <w:r w:rsidRPr="002D1CE6">
              <w:rPr>
                <w:sz w:val="28"/>
                <w:szCs w:val="28"/>
                <w:lang w:val="uk-UA"/>
              </w:rPr>
              <w:lastRenderedPageBreak/>
              <w:t>контролю за дотриманням спеціального та антикорупційного законодавства під час розгляду структурними підрозділами ДПС скарг платників податків/єдиного внеску, поданих в порядку адміністративного оскарження уповноваженим підрозділом з питань запобігання та виявлення корупції в ДПС через періодичний перегляд рішень, прийнятих за результатами розгляду таких скарг.</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Відповідальність державного службовця  за неправомірні дії чи бездіяльність визначена законами України, зокрема, статтею 65 Закону України «Про державну службу», статтями 364, 367 Кримінального кодексу України.</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Відповідно до пункту 22 частини першої статті 92 Конституції України засади цивільно-правової відповідальності, діяння, які є злочинами, адміністративними або дисциплінарними </w:t>
            </w:r>
            <w:r w:rsidRPr="002D1CE6">
              <w:rPr>
                <w:sz w:val="28"/>
                <w:szCs w:val="28"/>
                <w:lang w:val="uk-UA"/>
              </w:rPr>
              <w:lastRenderedPageBreak/>
              <w:t>правопорушеннями, та відповідальність за них визначається виключно законами України.</w:t>
            </w:r>
          </w:p>
        </w:tc>
      </w:tr>
      <w:tr w:rsidR="007078F4" w:rsidRPr="002D1CE6" w:rsidTr="00F149C2">
        <w:tc>
          <w:tcPr>
            <w:tcW w:w="3397"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lastRenderedPageBreak/>
              <w:t>Пункт 7, корупційний ризик. Можливість втручання в аналіз результатів розрахунків ризиків в частині несплати податків, зборів, внесків та інших платежів для відбору платників податків до документальних планових перевірок зокрема вплив на результат аналізу діяльності окремих платників податків (зменшення кількості / заниження ступенів ризиків)</w:t>
            </w:r>
          </w:p>
        </w:tc>
        <w:tc>
          <w:tcPr>
            <w:tcW w:w="3061"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У липні 2025 року Уряд анонсував мораторій на проведення перевірок бізнесу. Зокрема, очікується обмеження на проведення перевірок суб’єктів господарювання з незначним ступенем ризику та удосконалення методики застосування ризик-орієнтованого підходу. Вважаємо за доцільне передбачити в антикорупційній програмі ДПС заходи, спрямовані на</w:t>
            </w:r>
            <w:r w:rsidRPr="002D1CE6">
              <w:rPr>
                <w:lang w:val="uk-UA"/>
              </w:rPr>
              <w:t xml:space="preserve"> </w:t>
            </w:r>
            <w:proofErr w:type="spellStart"/>
            <w:r w:rsidRPr="002D1CE6">
              <w:rPr>
                <w:sz w:val="28"/>
                <w:szCs w:val="28"/>
                <w:lang w:val="uk-UA"/>
              </w:rPr>
              <w:t>невключення</w:t>
            </w:r>
            <w:proofErr w:type="spellEnd"/>
            <w:r w:rsidRPr="002D1CE6">
              <w:rPr>
                <w:sz w:val="28"/>
                <w:szCs w:val="28"/>
                <w:lang w:val="uk-UA"/>
              </w:rPr>
              <w:t xml:space="preserve"> до плану-графіка документальних перевірок платників податків, щодо яких наявні лише ризики незначного ступеня.</w:t>
            </w:r>
          </w:p>
        </w:tc>
        <w:tc>
          <w:tcPr>
            <w:tcW w:w="3176" w:type="dxa"/>
          </w:tcPr>
          <w:p w:rsidR="007078F4" w:rsidRPr="002D1CE6" w:rsidRDefault="007078F4" w:rsidP="00F149C2">
            <w:pPr>
              <w:pStyle w:val="a3"/>
              <w:spacing w:before="0" w:beforeAutospacing="0" w:after="0" w:afterAutospacing="0"/>
              <w:jc w:val="both"/>
              <w:rPr>
                <w:b/>
                <w:bCs/>
                <w:sz w:val="28"/>
                <w:szCs w:val="28"/>
                <w:lang w:val="uk-UA"/>
              </w:rPr>
            </w:pPr>
            <w:r w:rsidRPr="002D1CE6">
              <w:rPr>
                <w:b/>
                <w:bCs/>
                <w:sz w:val="28"/>
                <w:szCs w:val="28"/>
                <w:lang w:val="uk-UA"/>
              </w:rPr>
              <w:t xml:space="preserve">Враховано, </w:t>
            </w:r>
            <w:r w:rsidRPr="002D1CE6">
              <w:rPr>
                <w:sz w:val="28"/>
                <w:szCs w:val="28"/>
                <w:lang w:val="uk-UA"/>
              </w:rPr>
              <w:t xml:space="preserve">у пункті 7 пропонується додатково передбачити такі заходи впливу: «Удосконалення системи відбору платників податків до перевірок шляхом </w:t>
            </w:r>
            <w:proofErr w:type="spellStart"/>
            <w:r w:rsidRPr="002D1CE6">
              <w:rPr>
                <w:sz w:val="28"/>
                <w:szCs w:val="28"/>
                <w:lang w:val="uk-UA"/>
              </w:rPr>
              <w:t>невключення</w:t>
            </w:r>
            <w:proofErr w:type="spellEnd"/>
            <w:r w:rsidRPr="002D1CE6">
              <w:rPr>
                <w:sz w:val="28"/>
                <w:szCs w:val="28"/>
                <w:lang w:val="uk-UA"/>
              </w:rPr>
              <w:t xml:space="preserve"> до плану-графіка документальних перевірок на 2026 рік  платників податків, щодо яких наявні лише ризики незначного ступеня».</w:t>
            </w:r>
          </w:p>
          <w:p w:rsidR="007078F4" w:rsidRPr="002D1CE6" w:rsidRDefault="007078F4" w:rsidP="00F149C2">
            <w:pPr>
              <w:pStyle w:val="a3"/>
              <w:spacing w:before="0" w:beforeAutospacing="0" w:after="0" w:afterAutospacing="0"/>
              <w:jc w:val="both"/>
              <w:rPr>
                <w:b/>
                <w:bCs/>
                <w:sz w:val="28"/>
                <w:szCs w:val="28"/>
                <w:lang w:val="uk-UA"/>
              </w:rPr>
            </w:pPr>
          </w:p>
        </w:tc>
      </w:tr>
      <w:tr w:rsidR="007078F4" w:rsidRPr="002D1CE6" w:rsidTr="00F149C2">
        <w:tc>
          <w:tcPr>
            <w:tcW w:w="9634" w:type="dxa"/>
            <w:gridSpan w:val="3"/>
          </w:tcPr>
          <w:p w:rsidR="007078F4" w:rsidRPr="002D1CE6" w:rsidRDefault="007078F4" w:rsidP="00F149C2">
            <w:pPr>
              <w:pStyle w:val="a3"/>
              <w:spacing w:before="0" w:beforeAutospacing="0" w:after="0" w:afterAutospacing="0"/>
              <w:ind w:left="720"/>
              <w:jc w:val="center"/>
              <w:rPr>
                <w:bCs/>
                <w:sz w:val="28"/>
                <w:szCs w:val="28"/>
                <w:lang w:val="uk-UA"/>
              </w:rPr>
            </w:pPr>
            <w:r w:rsidRPr="002D1CE6">
              <w:rPr>
                <w:bCs/>
                <w:sz w:val="28"/>
                <w:szCs w:val="28"/>
                <w:lang w:val="uk-UA"/>
              </w:rPr>
              <w:t>3. Керуючий партнер Юридичної компанії «PRIKHODKO&amp;PARTNERS» Андрій Приходько</w:t>
            </w:r>
          </w:p>
        </w:tc>
      </w:tr>
      <w:tr w:rsidR="007078F4" w:rsidRPr="002D1CE6" w:rsidTr="00F149C2">
        <w:tc>
          <w:tcPr>
            <w:tcW w:w="3397"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Пункт 29, корупційний ризик. </w:t>
            </w:r>
            <w:proofErr w:type="spellStart"/>
            <w:r w:rsidRPr="002D1CE6">
              <w:rPr>
                <w:sz w:val="28"/>
                <w:szCs w:val="28"/>
                <w:lang w:val="uk-UA"/>
              </w:rPr>
              <w:t>Недоброчесність</w:t>
            </w:r>
            <w:proofErr w:type="spellEnd"/>
            <w:r w:rsidRPr="002D1CE6">
              <w:rPr>
                <w:sz w:val="28"/>
                <w:szCs w:val="28"/>
                <w:lang w:val="uk-UA"/>
              </w:rPr>
              <w:t xml:space="preserve"> посадових осіб ДПС та її територіальних органів під час організації та здійснення контролю за виробництвом та обігом спирту, пального, алкогольних напоїв, тютюнових виробів і рідин, що </w:t>
            </w:r>
            <w:r w:rsidRPr="002D1CE6">
              <w:rPr>
                <w:sz w:val="28"/>
                <w:szCs w:val="28"/>
                <w:lang w:val="uk-UA"/>
              </w:rPr>
              <w:lastRenderedPageBreak/>
              <w:t>використовуються в електронних сигаретах.</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Пункт. 30, корупційний ризик. </w:t>
            </w:r>
            <w:proofErr w:type="spellStart"/>
            <w:r w:rsidRPr="002D1CE6">
              <w:rPr>
                <w:sz w:val="28"/>
                <w:szCs w:val="28"/>
                <w:lang w:val="uk-UA"/>
              </w:rPr>
              <w:t>Недоброчесність</w:t>
            </w:r>
            <w:proofErr w:type="spellEnd"/>
            <w:r w:rsidRPr="002D1CE6">
              <w:rPr>
                <w:sz w:val="28"/>
                <w:szCs w:val="28"/>
                <w:lang w:val="uk-UA"/>
              </w:rPr>
              <w:t xml:space="preserve"> посадових осіб ДПС та її територіальних органів під час організації роботи щодо відбору зразків з метою проведення експертизи щодо автентичності та здійснення контролю за наявністю цих марок на пляшках (упаковках) з алкогольними напоями, на пачках (упаковках) тютюнових виробів, </w:t>
            </w:r>
            <w:proofErr w:type="spellStart"/>
            <w:r w:rsidRPr="002D1CE6">
              <w:rPr>
                <w:sz w:val="28"/>
                <w:szCs w:val="28"/>
                <w:lang w:val="uk-UA"/>
              </w:rPr>
              <w:t>ємностях</w:t>
            </w:r>
            <w:proofErr w:type="spellEnd"/>
            <w:r w:rsidRPr="002D1CE6">
              <w:rPr>
                <w:sz w:val="28"/>
                <w:szCs w:val="28"/>
                <w:lang w:val="uk-UA"/>
              </w:rPr>
              <w:t xml:space="preserve"> (упаковках) з рідинами, що використовуються в електронних сигаретах, під час транспортування, зберігання і реалізації.</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Пункт 31, корупційний ризик. </w:t>
            </w:r>
            <w:proofErr w:type="spellStart"/>
            <w:r w:rsidRPr="002D1CE6">
              <w:rPr>
                <w:sz w:val="28"/>
                <w:szCs w:val="28"/>
                <w:lang w:val="uk-UA"/>
              </w:rPr>
              <w:t>Недоброчесність</w:t>
            </w:r>
            <w:proofErr w:type="spellEnd"/>
            <w:r w:rsidRPr="002D1CE6">
              <w:rPr>
                <w:sz w:val="28"/>
                <w:szCs w:val="28"/>
                <w:lang w:val="uk-UA"/>
              </w:rPr>
              <w:t xml:space="preserve"> посадових осіб ДПС та її територіальних органів під час організації та здійснення контролю за дотриманням суб’єктами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тютюнові вироби, </w:t>
            </w:r>
            <w:r w:rsidRPr="002D1CE6">
              <w:rPr>
                <w:sz w:val="28"/>
                <w:szCs w:val="28"/>
                <w:lang w:val="uk-UA"/>
              </w:rPr>
              <w:lastRenderedPageBreak/>
              <w:t>встановлених виробниками або імпортерами таких виробів.</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Пункт 32, корупційний ризик. </w:t>
            </w:r>
            <w:proofErr w:type="spellStart"/>
            <w:r w:rsidRPr="002D1CE6">
              <w:rPr>
                <w:sz w:val="28"/>
                <w:szCs w:val="28"/>
                <w:lang w:val="uk-UA"/>
              </w:rPr>
              <w:t>Недоброчесність</w:t>
            </w:r>
            <w:proofErr w:type="spellEnd"/>
            <w:r w:rsidRPr="002D1CE6">
              <w:rPr>
                <w:sz w:val="28"/>
                <w:szCs w:val="28"/>
                <w:lang w:val="uk-UA"/>
              </w:rPr>
              <w:t xml:space="preserve"> посадових осіб ДПС та її територіальних органів під час організації контролю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Пункт 33, корупційний ризик. </w:t>
            </w:r>
            <w:proofErr w:type="spellStart"/>
            <w:r w:rsidRPr="002D1CE6">
              <w:rPr>
                <w:sz w:val="28"/>
                <w:szCs w:val="28"/>
                <w:lang w:val="uk-UA"/>
              </w:rPr>
              <w:t>Недоброчесність</w:t>
            </w:r>
            <w:proofErr w:type="spellEnd"/>
            <w:r w:rsidRPr="002D1CE6">
              <w:rPr>
                <w:sz w:val="28"/>
                <w:szCs w:val="28"/>
                <w:lang w:val="uk-UA"/>
              </w:rPr>
              <w:t xml:space="preserve"> посадових осіб ДПС та її територіальних органів під час здійснення заходів щодо запобігання та виявлення порушень вимог законодавства у сфері виробництва та обігу спирту, алкогольних напоїв, тютюнових виробів, тютюнової сировини, рідин, що використовуються в електронних сигаретах,  та пального; проведення роботи, пов’язаної з боротьбою із незаконним виробництвом, переміщенням, обігом спирту, алкогольних напоїв, тютюнових </w:t>
            </w:r>
            <w:r w:rsidRPr="002D1CE6">
              <w:rPr>
                <w:sz w:val="28"/>
                <w:szCs w:val="28"/>
                <w:lang w:val="uk-UA"/>
              </w:rPr>
              <w:lastRenderedPageBreak/>
              <w:t>виробів та інших підакцизних товарів (продукції).</w:t>
            </w:r>
          </w:p>
        </w:tc>
        <w:tc>
          <w:tcPr>
            <w:tcW w:w="3061"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lastRenderedPageBreak/>
              <w:t xml:space="preserve">У пунктах 29 – 33 реєстру корупційних ризиків у діяльності ДПС передбачено ризики недоброчесної поведінки посадових осіб під час проведення перевірок повноти нарахування та сплати акцизного податку. Водночас, заходи </w:t>
            </w:r>
            <w:r w:rsidRPr="002D1CE6">
              <w:rPr>
                <w:sz w:val="28"/>
                <w:szCs w:val="28"/>
                <w:lang w:val="uk-UA"/>
              </w:rPr>
              <w:lastRenderedPageBreak/>
              <w:t>впливу на ці ризики не передбачають уникнення «контактних ситуацій» між податківцями і платниками цього податку, що і зумовлює корупційні ризики. На нашу думку, запорукою подолання недоброчесної поведінки є удосконалення процедур діяльності податкової служби та автоматизація процесів, що зменшить вплив «людського фактору» як під час адміністрування податків, так і під час здійснення контрольних функцій.</w:t>
            </w:r>
          </w:p>
        </w:tc>
        <w:tc>
          <w:tcPr>
            <w:tcW w:w="3176" w:type="dxa"/>
          </w:tcPr>
          <w:p w:rsidR="007078F4" w:rsidRPr="002D1CE6" w:rsidRDefault="007078F4" w:rsidP="00F149C2">
            <w:pPr>
              <w:pStyle w:val="a3"/>
              <w:spacing w:before="0" w:beforeAutospacing="0" w:after="0" w:afterAutospacing="0"/>
              <w:jc w:val="both"/>
              <w:rPr>
                <w:sz w:val="28"/>
                <w:szCs w:val="28"/>
                <w:lang w:val="uk-UA"/>
              </w:rPr>
            </w:pPr>
            <w:r w:rsidRPr="002D1CE6">
              <w:rPr>
                <w:b/>
                <w:bCs/>
                <w:sz w:val="28"/>
                <w:szCs w:val="28"/>
                <w:lang w:val="uk-UA"/>
              </w:rPr>
              <w:lastRenderedPageBreak/>
              <w:t xml:space="preserve">Враховано, </w:t>
            </w:r>
            <w:r w:rsidRPr="002D1CE6">
              <w:rPr>
                <w:sz w:val="28"/>
                <w:szCs w:val="28"/>
                <w:lang w:val="uk-UA"/>
              </w:rPr>
              <w:t>у пунктах 29 - 33 пропонується додатково передбачити такі заходи впливу:</w:t>
            </w:r>
            <w:r w:rsidRPr="002D1CE6">
              <w:rPr>
                <w:lang w:val="uk-UA"/>
              </w:rPr>
              <w:t xml:space="preserve"> «1. </w:t>
            </w:r>
            <w:r w:rsidRPr="002D1CE6">
              <w:rPr>
                <w:sz w:val="28"/>
                <w:szCs w:val="28"/>
                <w:lang w:val="uk-UA"/>
              </w:rPr>
              <w:t xml:space="preserve">Впровадження ІТ-рішення, необхідних для функціонування Електронної системи контролю за обігом тютюнових виробів, алкогольних напоїв та </w:t>
            </w:r>
            <w:r w:rsidRPr="002D1CE6">
              <w:rPr>
                <w:sz w:val="28"/>
                <w:szCs w:val="28"/>
                <w:lang w:val="uk-UA"/>
              </w:rPr>
              <w:lastRenderedPageBreak/>
              <w:t>рідин, що використовуються в електронних сигаретах;</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2. Підтримання комунікації із зовнішніми зацікавленими сторонами, експертним середовищем, платниками податків тощо шляхом проведення роз’яснювальної кампанії, навчальних семінарів для працівників ДПС та популяризації застосування сучасних методів і підходів до </w:t>
            </w:r>
            <w:proofErr w:type="spellStart"/>
            <w:r w:rsidRPr="002D1CE6">
              <w:rPr>
                <w:sz w:val="28"/>
                <w:szCs w:val="28"/>
                <w:lang w:val="uk-UA"/>
              </w:rPr>
              <w:t>цифровізації</w:t>
            </w:r>
            <w:proofErr w:type="spellEnd"/>
            <w:r w:rsidRPr="002D1CE6">
              <w:rPr>
                <w:sz w:val="28"/>
                <w:szCs w:val="28"/>
                <w:lang w:val="uk-UA"/>
              </w:rPr>
              <w:t xml:space="preserve"> контролю за обігом підакцизних товарів».</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У пунктах 29, 33 пропонується додатково передбачити такі заходи впливу: «1. Підготовка та надання пропозицій щодо прийняття та (або) внесення змін до нормативно-правових актів щодо системи електронного адміністрування реалізації пального та спирту етилового і удосконалення адміністрування акцизного податку;</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2. Впровадження ІТ-рішення для вдосконалення автоматизованої </w:t>
            </w:r>
            <w:r w:rsidRPr="002D1CE6">
              <w:rPr>
                <w:sz w:val="28"/>
                <w:szCs w:val="28"/>
                <w:lang w:val="uk-UA"/>
              </w:rPr>
              <w:lastRenderedPageBreak/>
              <w:t>системи контролю за обігом пального та етилового спирту».</w:t>
            </w:r>
          </w:p>
          <w:p w:rsidR="007078F4" w:rsidRPr="002D1CE6" w:rsidRDefault="007078F4" w:rsidP="00F149C2">
            <w:pPr>
              <w:pStyle w:val="a3"/>
              <w:spacing w:before="0" w:beforeAutospacing="0" w:after="0" w:afterAutospacing="0"/>
              <w:jc w:val="both"/>
              <w:rPr>
                <w:b/>
                <w:bCs/>
                <w:sz w:val="28"/>
                <w:szCs w:val="28"/>
                <w:lang w:val="uk-UA"/>
              </w:rPr>
            </w:pPr>
          </w:p>
        </w:tc>
      </w:tr>
      <w:tr w:rsidR="007078F4" w:rsidRPr="002D1CE6" w:rsidTr="00F149C2">
        <w:tc>
          <w:tcPr>
            <w:tcW w:w="9634" w:type="dxa"/>
            <w:gridSpan w:val="3"/>
          </w:tcPr>
          <w:p w:rsidR="007078F4" w:rsidRPr="002D1CE6" w:rsidRDefault="007078F4" w:rsidP="007078F4">
            <w:pPr>
              <w:pStyle w:val="a3"/>
              <w:numPr>
                <w:ilvl w:val="0"/>
                <w:numId w:val="1"/>
              </w:numPr>
              <w:spacing w:before="0" w:beforeAutospacing="0" w:after="0" w:afterAutospacing="0"/>
              <w:jc w:val="center"/>
              <w:rPr>
                <w:bCs/>
                <w:sz w:val="28"/>
                <w:szCs w:val="28"/>
                <w:lang w:val="uk-UA"/>
              </w:rPr>
            </w:pPr>
            <w:r w:rsidRPr="002D1CE6">
              <w:rPr>
                <w:bCs/>
                <w:sz w:val="28"/>
                <w:szCs w:val="28"/>
                <w:lang w:val="uk-UA"/>
              </w:rPr>
              <w:lastRenderedPageBreak/>
              <w:t xml:space="preserve">Керівник відділу податкового консалтингу ТОВ «Грант </w:t>
            </w:r>
            <w:proofErr w:type="spellStart"/>
            <w:r w:rsidRPr="002D1CE6">
              <w:rPr>
                <w:bCs/>
                <w:sz w:val="28"/>
                <w:szCs w:val="28"/>
                <w:lang w:val="uk-UA"/>
              </w:rPr>
              <w:t>Торнтон</w:t>
            </w:r>
            <w:proofErr w:type="spellEnd"/>
            <w:r w:rsidRPr="002D1CE6">
              <w:rPr>
                <w:bCs/>
                <w:sz w:val="28"/>
                <w:szCs w:val="28"/>
                <w:lang w:val="uk-UA"/>
              </w:rPr>
              <w:t xml:space="preserve">» Ігор </w:t>
            </w:r>
            <w:proofErr w:type="spellStart"/>
            <w:r w:rsidRPr="002D1CE6">
              <w:rPr>
                <w:bCs/>
                <w:sz w:val="28"/>
                <w:szCs w:val="28"/>
                <w:lang w:val="uk-UA"/>
              </w:rPr>
              <w:t>Білозор</w:t>
            </w:r>
            <w:proofErr w:type="spellEnd"/>
          </w:p>
        </w:tc>
      </w:tr>
      <w:tr w:rsidR="007078F4" w:rsidRPr="002D1CE6" w:rsidTr="00F149C2">
        <w:tc>
          <w:tcPr>
            <w:tcW w:w="3397"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Пункт 9, функція. Організація проведення документальних перевірок.</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Пункт 10, функція. Організація проведення фактичних перевірок платників податків.</w:t>
            </w:r>
          </w:p>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Пункт 17, функція. Організація роботи та здійснення контролю за погашенням податкового боргу, недоїмки зі сплати єдиного внеску та заборгованості з інших платежів, контроль за справлянням яких покладено на контролюючі органи.</w:t>
            </w:r>
          </w:p>
        </w:tc>
        <w:tc>
          <w:tcPr>
            <w:tcW w:w="3061"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 xml:space="preserve">У липні 2025 року ДПС анонсовано зміну податкового контролю та підходів до перевірок – якість замість кількості, аналітика замість тиску, </w:t>
            </w:r>
            <w:proofErr w:type="spellStart"/>
            <w:r w:rsidRPr="002D1CE6">
              <w:rPr>
                <w:sz w:val="28"/>
                <w:szCs w:val="28"/>
                <w:lang w:val="uk-UA"/>
              </w:rPr>
              <w:t>ризикоорієнтованість</w:t>
            </w:r>
            <w:proofErr w:type="spellEnd"/>
            <w:r w:rsidRPr="002D1CE6">
              <w:rPr>
                <w:sz w:val="28"/>
                <w:szCs w:val="28"/>
                <w:lang w:val="uk-UA"/>
              </w:rPr>
              <w:t xml:space="preserve"> і автоматизація процесів. Вважаємо, що ц</w:t>
            </w:r>
            <w:r w:rsidRPr="002D1CE6">
              <w:rPr>
                <w:color w:val="000000"/>
                <w:sz w:val="28"/>
                <w:szCs w:val="28"/>
                <w:lang w:val="uk-UA"/>
              </w:rPr>
              <w:t>ифрова трансформація роботи ДПС, підвищення ефективності виконання контрольних функцій та усунення вибірковості в їх реалізації мають стати основою антикорупційної політики на найближчі три роки.</w:t>
            </w:r>
          </w:p>
        </w:tc>
        <w:tc>
          <w:tcPr>
            <w:tcW w:w="3176" w:type="dxa"/>
          </w:tcPr>
          <w:p w:rsidR="007078F4" w:rsidRPr="002D1CE6" w:rsidRDefault="007078F4" w:rsidP="00F149C2">
            <w:pPr>
              <w:pStyle w:val="a3"/>
              <w:spacing w:before="0" w:beforeAutospacing="0" w:after="0" w:afterAutospacing="0"/>
              <w:jc w:val="both"/>
              <w:rPr>
                <w:b/>
                <w:bCs/>
                <w:sz w:val="28"/>
                <w:szCs w:val="28"/>
                <w:lang w:val="uk-UA"/>
              </w:rPr>
            </w:pPr>
            <w:r w:rsidRPr="002D1CE6">
              <w:rPr>
                <w:b/>
                <w:bCs/>
                <w:sz w:val="28"/>
                <w:szCs w:val="28"/>
                <w:lang w:val="uk-UA"/>
              </w:rPr>
              <w:t>Враховано частково,</w:t>
            </w:r>
            <w:r w:rsidRPr="002D1CE6">
              <w:rPr>
                <w:sz w:val="28"/>
                <w:szCs w:val="28"/>
                <w:lang w:val="uk-UA"/>
              </w:rPr>
              <w:t xml:space="preserve"> у пункті 17 пропонується додатково передбачити такі заходи впливу:</w:t>
            </w:r>
          </w:p>
          <w:p w:rsidR="007078F4" w:rsidRPr="002D1CE6" w:rsidRDefault="007078F4" w:rsidP="00F149C2">
            <w:pPr>
              <w:pStyle w:val="a3"/>
              <w:spacing w:before="0" w:beforeAutospacing="0" w:after="0" w:afterAutospacing="0"/>
              <w:jc w:val="both"/>
              <w:rPr>
                <w:bCs/>
                <w:sz w:val="28"/>
                <w:szCs w:val="28"/>
                <w:lang w:val="uk-UA"/>
              </w:rPr>
            </w:pPr>
            <w:r w:rsidRPr="002D1CE6">
              <w:rPr>
                <w:bCs/>
                <w:sz w:val="28"/>
                <w:szCs w:val="28"/>
                <w:lang w:val="uk-UA"/>
              </w:rPr>
              <w:t>«Впровадження механізму електронної взаємодії з надавачами платіжних послуг у процесі формування органами ДПС, надсилання та виконання платіжних інструкцій на примусове списання коштів з рахунків платників податків, які мають податковий борг («е-борг»)».</w:t>
            </w:r>
          </w:p>
          <w:p w:rsidR="007078F4" w:rsidRPr="002D1CE6" w:rsidRDefault="007078F4" w:rsidP="00F149C2">
            <w:pPr>
              <w:pStyle w:val="a3"/>
              <w:spacing w:before="0" w:beforeAutospacing="0" w:after="0" w:afterAutospacing="0"/>
              <w:jc w:val="both"/>
              <w:rPr>
                <w:bCs/>
                <w:sz w:val="28"/>
                <w:szCs w:val="28"/>
                <w:lang w:val="uk-UA"/>
              </w:rPr>
            </w:pPr>
          </w:p>
        </w:tc>
      </w:tr>
      <w:tr w:rsidR="007078F4" w:rsidRPr="002D1CE6" w:rsidTr="00F149C2">
        <w:tc>
          <w:tcPr>
            <w:tcW w:w="9634" w:type="dxa"/>
            <w:gridSpan w:val="3"/>
          </w:tcPr>
          <w:p w:rsidR="007078F4" w:rsidRPr="002D1CE6" w:rsidRDefault="007078F4" w:rsidP="007078F4">
            <w:pPr>
              <w:pStyle w:val="a3"/>
              <w:numPr>
                <w:ilvl w:val="0"/>
                <w:numId w:val="1"/>
              </w:numPr>
              <w:spacing w:before="0" w:beforeAutospacing="0" w:after="0" w:afterAutospacing="0"/>
              <w:jc w:val="center"/>
              <w:rPr>
                <w:b/>
                <w:bCs/>
                <w:sz w:val="28"/>
                <w:szCs w:val="28"/>
                <w:lang w:val="uk-UA"/>
              </w:rPr>
            </w:pPr>
            <w:r w:rsidRPr="002D1CE6">
              <w:rPr>
                <w:sz w:val="28"/>
                <w:szCs w:val="28"/>
                <w:lang w:val="uk-UA"/>
              </w:rPr>
              <w:t>Представник Американської торгівельної палати Оксани Швець</w:t>
            </w:r>
          </w:p>
        </w:tc>
      </w:tr>
      <w:tr w:rsidR="007078F4" w:rsidRPr="002D1CE6" w:rsidTr="00F149C2">
        <w:tc>
          <w:tcPr>
            <w:tcW w:w="3397" w:type="dxa"/>
          </w:tcPr>
          <w:p w:rsidR="007078F4" w:rsidRPr="002D1CE6" w:rsidRDefault="007078F4" w:rsidP="00F149C2">
            <w:pPr>
              <w:pStyle w:val="a3"/>
              <w:spacing w:before="0" w:beforeAutospacing="0" w:after="0" w:afterAutospacing="0"/>
              <w:jc w:val="both"/>
              <w:rPr>
                <w:sz w:val="28"/>
                <w:szCs w:val="28"/>
                <w:lang w:val="uk-UA"/>
              </w:rPr>
            </w:pPr>
          </w:p>
        </w:tc>
        <w:tc>
          <w:tcPr>
            <w:tcW w:w="3061" w:type="dxa"/>
          </w:tcPr>
          <w:p w:rsidR="007078F4" w:rsidRPr="002D1CE6" w:rsidRDefault="007078F4" w:rsidP="00F149C2">
            <w:pPr>
              <w:pStyle w:val="a3"/>
              <w:spacing w:before="0" w:beforeAutospacing="0" w:after="0" w:afterAutospacing="0"/>
              <w:jc w:val="both"/>
              <w:rPr>
                <w:sz w:val="28"/>
                <w:szCs w:val="28"/>
                <w:lang w:val="uk-UA"/>
              </w:rPr>
            </w:pPr>
            <w:r w:rsidRPr="002D1CE6">
              <w:rPr>
                <w:sz w:val="28"/>
                <w:szCs w:val="28"/>
                <w:lang w:val="uk-UA"/>
              </w:rPr>
              <w:t>Забезпечення рівності перед законом всіх платників податків має основою діяльності податкової служби. Зауваження і пропозиції до антикорупційної програми відсутні.</w:t>
            </w:r>
          </w:p>
        </w:tc>
        <w:tc>
          <w:tcPr>
            <w:tcW w:w="3176" w:type="dxa"/>
          </w:tcPr>
          <w:p w:rsidR="007078F4" w:rsidRPr="002D1CE6" w:rsidRDefault="007078F4" w:rsidP="00F149C2">
            <w:pPr>
              <w:pStyle w:val="a3"/>
              <w:spacing w:before="0" w:beforeAutospacing="0" w:after="0" w:afterAutospacing="0"/>
              <w:jc w:val="both"/>
              <w:rPr>
                <w:b/>
                <w:bCs/>
                <w:sz w:val="28"/>
                <w:szCs w:val="28"/>
                <w:lang w:val="uk-UA"/>
              </w:rPr>
            </w:pPr>
          </w:p>
        </w:tc>
      </w:tr>
    </w:tbl>
    <w:p w:rsidR="007078F4" w:rsidRPr="002D1CE6" w:rsidRDefault="007078F4" w:rsidP="00241F9D">
      <w:pPr>
        <w:pStyle w:val="a3"/>
        <w:shd w:val="clear" w:color="auto" w:fill="FFFFFF"/>
        <w:spacing w:before="0" w:beforeAutospacing="0" w:after="0" w:afterAutospacing="0"/>
        <w:jc w:val="center"/>
        <w:rPr>
          <w:sz w:val="28"/>
          <w:szCs w:val="28"/>
          <w:lang w:val="uk-UA"/>
        </w:rPr>
      </w:pPr>
    </w:p>
    <w:p w:rsidR="002959C0" w:rsidRPr="002D1CE6" w:rsidRDefault="00241F9D" w:rsidP="00241F9D">
      <w:pPr>
        <w:jc w:val="center"/>
        <w:rPr>
          <w:lang w:val="uk-UA"/>
        </w:rPr>
      </w:pPr>
      <w:r w:rsidRPr="002D1CE6">
        <w:rPr>
          <w:lang w:val="uk-UA"/>
        </w:rPr>
        <w:t>_____________________________</w:t>
      </w:r>
    </w:p>
    <w:sectPr w:rsidR="002959C0" w:rsidRPr="002D1CE6" w:rsidSect="007078F4">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B9D" w:rsidRDefault="00EE2B9D" w:rsidP="007078F4">
      <w:pPr>
        <w:spacing w:after="0" w:line="240" w:lineRule="auto"/>
      </w:pPr>
      <w:r>
        <w:separator/>
      </w:r>
    </w:p>
  </w:endnote>
  <w:endnote w:type="continuationSeparator" w:id="0">
    <w:p w:rsidR="00EE2B9D" w:rsidRDefault="00EE2B9D" w:rsidP="0070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B9D" w:rsidRDefault="00EE2B9D" w:rsidP="007078F4">
      <w:pPr>
        <w:spacing w:after="0" w:line="240" w:lineRule="auto"/>
      </w:pPr>
      <w:r>
        <w:separator/>
      </w:r>
    </w:p>
  </w:footnote>
  <w:footnote w:type="continuationSeparator" w:id="0">
    <w:p w:rsidR="00EE2B9D" w:rsidRDefault="00EE2B9D" w:rsidP="0070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166175"/>
      <w:docPartObj>
        <w:docPartGallery w:val="Page Numbers (Top of Page)"/>
        <w:docPartUnique/>
      </w:docPartObj>
    </w:sdtPr>
    <w:sdtEndPr>
      <w:rPr>
        <w:rFonts w:ascii="Times New Roman" w:hAnsi="Times New Roman" w:cs="Times New Roman"/>
        <w:sz w:val="28"/>
        <w:szCs w:val="28"/>
      </w:rPr>
    </w:sdtEndPr>
    <w:sdtContent>
      <w:p w:rsidR="007078F4" w:rsidRDefault="007078F4">
        <w:pPr>
          <w:pStyle w:val="a5"/>
          <w:jc w:val="center"/>
          <w:rPr>
            <w:rFonts w:ascii="Times New Roman" w:hAnsi="Times New Roman" w:cs="Times New Roman"/>
            <w:sz w:val="28"/>
            <w:szCs w:val="28"/>
          </w:rPr>
        </w:pPr>
        <w:r w:rsidRPr="007078F4">
          <w:rPr>
            <w:rFonts w:ascii="Times New Roman" w:hAnsi="Times New Roman" w:cs="Times New Roman"/>
            <w:sz w:val="28"/>
            <w:szCs w:val="28"/>
          </w:rPr>
          <w:fldChar w:fldCharType="begin"/>
        </w:r>
        <w:r w:rsidRPr="007078F4">
          <w:rPr>
            <w:rFonts w:ascii="Times New Roman" w:hAnsi="Times New Roman" w:cs="Times New Roman"/>
            <w:sz w:val="28"/>
            <w:szCs w:val="28"/>
          </w:rPr>
          <w:instrText>PAGE   \* MERGEFORMAT</w:instrText>
        </w:r>
        <w:r w:rsidRPr="007078F4">
          <w:rPr>
            <w:rFonts w:ascii="Times New Roman" w:hAnsi="Times New Roman" w:cs="Times New Roman"/>
            <w:sz w:val="28"/>
            <w:szCs w:val="28"/>
          </w:rPr>
          <w:fldChar w:fldCharType="separate"/>
        </w:r>
        <w:r w:rsidRPr="007078F4">
          <w:rPr>
            <w:rFonts w:ascii="Times New Roman" w:hAnsi="Times New Roman" w:cs="Times New Roman"/>
            <w:sz w:val="28"/>
            <w:szCs w:val="28"/>
            <w:lang w:val="uk-UA"/>
          </w:rPr>
          <w:t>2</w:t>
        </w:r>
        <w:r w:rsidRPr="007078F4">
          <w:rPr>
            <w:rFonts w:ascii="Times New Roman" w:hAnsi="Times New Roman" w:cs="Times New Roman"/>
            <w:sz w:val="28"/>
            <w:szCs w:val="28"/>
          </w:rPr>
          <w:fldChar w:fldCharType="end"/>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3397"/>
          <w:gridCol w:w="3061"/>
          <w:gridCol w:w="3176"/>
        </w:tblGrid>
        <w:tr w:rsidR="007078F4" w:rsidRPr="002F3C0A" w:rsidTr="00F149C2">
          <w:trPr>
            <w:tblHeader/>
          </w:trPr>
          <w:tc>
            <w:tcPr>
              <w:tcW w:w="3397" w:type="dxa"/>
            </w:tcPr>
            <w:p w:rsidR="007078F4" w:rsidRPr="002F3C0A" w:rsidRDefault="007078F4" w:rsidP="007078F4">
              <w:pPr>
                <w:pStyle w:val="a3"/>
                <w:spacing w:before="0" w:beforeAutospacing="0" w:after="0" w:afterAutospacing="0"/>
                <w:jc w:val="both"/>
                <w:rPr>
                  <w:bCs/>
                  <w:sz w:val="28"/>
                  <w:szCs w:val="28"/>
                  <w:lang w:val="uk-UA"/>
                </w:rPr>
              </w:pPr>
              <w:r w:rsidRPr="002F3C0A">
                <w:rPr>
                  <w:bCs/>
                  <w:sz w:val="28"/>
                  <w:szCs w:val="28"/>
                  <w:lang w:val="uk-UA"/>
                </w:rPr>
                <w:t>Поточна редакція</w:t>
              </w:r>
            </w:p>
          </w:tc>
          <w:tc>
            <w:tcPr>
              <w:tcW w:w="3061" w:type="dxa"/>
            </w:tcPr>
            <w:p w:rsidR="007078F4" w:rsidRPr="002F3C0A" w:rsidRDefault="007078F4" w:rsidP="007078F4">
              <w:pPr>
                <w:pStyle w:val="a3"/>
                <w:spacing w:before="0" w:beforeAutospacing="0" w:after="0" w:afterAutospacing="0"/>
                <w:rPr>
                  <w:bCs/>
                  <w:sz w:val="28"/>
                  <w:szCs w:val="28"/>
                  <w:lang w:val="uk-UA"/>
                </w:rPr>
              </w:pPr>
              <w:r w:rsidRPr="002F3C0A">
                <w:rPr>
                  <w:bCs/>
                  <w:sz w:val="28"/>
                  <w:szCs w:val="28"/>
                  <w:lang w:val="uk-UA"/>
                </w:rPr>
                <w:t>Пропозиції учасників публічного обговорення</w:t>
              </w:r>
            </w:p>
          </w:tc>
          <w:tc>
            <w:tcPr>
              <w:tcW w:w="3176" w:type="dxa"/>
            </w:tcPr>
            <w:p w:rsidR="007078F4" w:rsidRPr="002F3C0A" w:rsidRDefault="007078F4" w:rsidP="007078F4">
              <w:pPr>
                <w:pStyle w:val="a3"/>
                <w:spacing w:before="0" w:beforeAutospacing="0" w:after="0" w:afterAutospacing="0"/>
                <w:jc w:val="both"/>
                <w:rPr>
                  <w:bCs/>
                  <w:sz w:val="28"/>
                  <w:szCs w:val="28"/>
                  <w:lang w:val="uk-UA"/>
                </w:rPr>
              </w:pPr>
              <w:r w:rsidRPr="002F3C0A">
                <w:rPr>
                  <w:bCs/>
                  <w:sz w:val="28"/>
                  <w:szCs w:val="28"/>
                  <w:lang w:val="uk-UA"/>
                </w:rPr>
                <w:t>Результати врахування пропозицій</w:t>
              </w:r>
            </w:p>
          </w:tc>
        </w:tr>
      </w:tbl>
      <w:p w:rsidR="007078F4" w:rsidRPr="007078F4" w:rsidRDefault="00EE2B9D" w:rsidP="007078F4">
        <w:pPr>
          <w:pStyle w:val="a5"/>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37C60"/>
    <w:multiLevelType w:val="hybridMultilevel"/>
    <w:tmpl w:val="617419AA"/>
    <w:lvl w:ilvl="0" w:tplc="030EA53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F4"/>
    <w:rsid w:val="00241F9D"/>
    <w:rsid w:val="00286C1E"/>
    <w:rsid w:val="002959C0"/>
    <w:rsid w:val="002D1CE6"/>
    <w:rsid w:val="002D77D5"/>
    <w:rsid w:val="007078F4"/>
    <w:rsid w:val="00EE2B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78752-A3B4-45A7-9E23-7CE29C6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8F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78F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7078F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78F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078F4"/>
    <w:rPr>
      <w:lang w:val="ru-RU"/>
    </w:rPr>
  </w:style>
  <w:style w:type="paragraph" w:styleId="a7">
    <w:name w:val="footer"/>
    <w:basedOn w:val="a"/>
    <w:link w:val="a8"/>
    <w:uiPriority w:val="99"/>
    <w:unhideWhenUsed/>
    <w:rsid w:val="007078F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078F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8872</Words>
  <Characters>5058</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ГРАМА АНДРІЙ МИКОЛАЙОВИЧ</dc:creator>
  <cp:keywords/>
  <dc:description/>
  <cp:lastModifiedBy>ГЛОБА ОЛЕКСІЙ ВОЛОДИМИРОВИЧ</cp:lastModifiedBy>
  <cp:revision>3</cp:revision>
  <dcterms:created xsi:type="dcterms:W3CDTF">2025-11-03T12:48:00Z</dcterms:created>
  <dcterms:modified xsi:type="dcterms:W3CDTF">2025-11-05T06:35:00Z</dcterms:modified>
</cp:coreProperties>
</file>