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528"/>
        <w:gridCol w:w="7229"/>
      </w:tblGrid>
      <w:tr w:rsidR="00987B34" w:rsidRPr="00F27860" w:rsidTr="006B788E">
        <w:trPr>
          <w:trHeight w:hRule="exact" w:val="1569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B788E" w:rsidRDefault="006B788E" w:rsidP="006B788E">
            <w:pPr>
              <w:jc w:val="both"/>
              <w:rPr>
                <w:sz w:val="26"/>
                <w:szCs w:val="26"/>
              </w:rPr>
            </w:pPr>
            <w:r>
              <w:t xml:space="preserve">Водопровідні та санітарно-технічні роботи – за кодом </w:t>
            </w:r>
            <w:r>
              <w:br/>
              <w:t xml:space="preserve">ДК 021:2015 − 45330000-9 </w:t>
            </w:r>
            <w:r w:rsidRPr="00885345">
              <w:rPr>
                <w:b/>
              </w:rPr>
              <w:t>(</w:t>
            </w:r>
            <w:r w:rsidRPr="00960A28">
              <w:t>Послуги з поточного ремонту частини мереж централізованого теплопостачання та холодного водопостачання майнового комплексу ДПС)</w:t>
            </w:r>
          </w:p>
          <w:p w:rsidR="00987B34" w:rsidRPr="00257BC2" w:rsidRDefault="0065310A" w:rsidP="00C60C02">
            <w:pPr>
              <w:jc w:val="both"/>
            </w:pPr>
            <w:r w:rsidRPr="00257BC2">
              <w:rPr>
                <w:sz w:val="26"/>
                <w:szCs w:val="26"/>
              </w:rPr>
              <w:t>(ідентифікатор закупівлі:</w:t>
            </w:r>
            <w:r w:rsidR="00EE6AA6" w:rsidRPr="00257BC2">
              <w:rPr>
                <w:sz w:val="26"/>
                <w:szCs w:val="26"/>
              </w:rPr>
              <w:t xml:space="preserve"> </w:t>
            </w:r>
            <w:r w:rsidRPr="00257BC2">
              <w:rPr>
                <w:sz w:val="26"/>
                <w:szCs w:val="26"/>
              </w:rPr>
              <w:t>UA-202</w:t>
            </w:r>
            <w:r w:rsidR="00BE12F8" w:rsidRPr="00257BC2">
              <w:rPr>
                <w:sz w:val="26"/>
                <w:szCs w:val="26"/>
              </w:rPr>
              <w:t>5</w:t>
            </w:r>
            <w:r w:rsidRPr="00257BC2">
              <w:rPr>
                <w:sz w:val="26"/>
                <w:szCs w:val="26"/>
              </w:rPr>
              <w:t>-</w:t>
            </w:r>
            <w:r w:rsidR="006B788E">
              <w:rPr>
                <w:sz w:val="26"/>
                <w:szCs w:val="26"/>
              </w:rPr>
              <w:t>10</w:t>
            </w:r>
            <w:r w:rsidRPr="00257BC2">
              <w:rPr>
                <w:sz w:val="26"/>
                <w:szCs w:val="26"/>
              </w:rPr>
              <w:t>-</w:t>
            </w:r>
            <w:r w:rsidR="006B788E">
              <w:rPr>
                <w:sz w:val="26"/>
                <w:szCs w:val="26"/>
              </w:rPr>
              <w:t>30</w:t>
            </w:r>
            <w:r w:rsidRPr="00257BC2">
              <w:rPr>
                <w:sz w:val="26"/>
                <w:szCs w:val="26"/>
              </w:rPr>
              <w:t>-0</w:t>
            </w:r>
            <w:r w:rsidR="00257BC2" w:rsidRPr="00257BC2">
              <w:rPr>
                <w:sz w:val="26"/>
                <w:szCs w:val="26"/>
              </w:rPr>
              <w:t>1</w:t>
            </w:r>
            <w:r w:rsidR="006B788E">
              <w:rPr>
                <w:sz w:val="26"/>
                <w:szCs w:val="26"/>
              </w:rPr>
              <w:t>2583</w:t>
            </w:r>
            <w:r w:rsidRPr="00257BC2">
              <w:rPr>
                <w:sz w:val="26"/>
                <w:szCs w:val="26"/>
              </w:rPr>
              <w:t>-a)</w:t>
            </w:r>
          </w:p>
        </w:tc>
      </w:tr>
      <w:tr w:rsidR="00C60C02" w:rsidRPr="00F27860" w:rsidTr="006B788E">
        <w:trPr>
          <w:trHeight w:val="5087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B788E" w:rsidRDefault="006B788E" w:rsidP="006B788E">
            <w:pPr>
              <w:jc w:val="both"/>
            </w:pPr>
            <w:r>
              <w:t>Обслуговуючою компанією</w:t>
            </w:r>
            <w:r w:rsidRPr="002F6A30">
              <w:t xml:space="preserve"> ТОВ «КОМПАС ФМ» було виявлено та</w:t>
            </w:r>
            <w:r>
              <w:t> </w:t>
            </w:r>
            <w:r w:rsidRPr="002F6A30">
              <w:t>повідомлено листом від 22</w:t>
            </w:r>
            <w:r>
              <w:t>.11.2024</w:t>
            </w:r>
            <w:r w:rsidRPr="002F6A30">
              <w:t xml:space="preserve"> №</w:t>
            </w:r>
            <w:r>
              <w:t> </w:t>
            </w:r>
            <w:r w:rsidRPr="002F6A30">
              <w:t>179 (</w:t>
            </w:r>
            <w:proofErr w:type="spellStart"/>
            <w:r w:rsidRPr="002F6A30">
              <w:t>вх</w:t>
            </w:r>
            <w:proofErr w:type="spellEnd"/>
            <w:r w:rsidRPr="002F6A30">
              <w:t>.</w:t>
            </w:r>
            <w:r>
              <w:t> </w:t>
            </w:r>
            <w:r w:rsidRPr="002F6A30">
              <w:t>ДПС №</w:t>
            </w:r>
            <w:r>
              <w:t> </w:t>
            </w:r>
            <w:r w:rsidRPr="002F6A30">
              <w:t>46010/6 від 28.11.2024) про аномально високі втрати теплоносія, що</w:t>
            </w:r>
            <w:r>
              <w:t> </w:t>
            </w:r>
            <w:r w:rsidRPr="002F6A30">
              <w:t>спричинене п</w:t>
            </w:r>
            <w:r w:rsidR="000328D9">
              <w:t>р</w:t>
            </w:r>
            <w:r w:rsidRPr="002F6A30">
              <w:t>оривом мережі теплопостачання. Вірогідне місце прориву знаходиться під землею на</w:t>
            </w:r>
            <w:r>
              <w:t xml:space="preserve"> </w:t>
            </w:r>
            <w:r w:rsidRPr="002F6A30">
              <w:t xml:space="preserve">ділянці між теплопунктом </w:t>
            </w:r>
            <w:r w:rsidRPr="00D97FE0">
              <w:rPr>
                <w:snapToGrid w:val="0"/>
                <w:lang w:eastAsia="en-US"/>
              </w:rPr>
              <w:t>за</w:t>
            </w:r>
            <w:r>
              <w:rPr>
                <w:snapToGrid w:val="0"/>
                <w:lang w:eastAsia="en-US"/>
              </w:rPr>
              <w:t> </w:t>
            </w:r>
            <w:proofErr w:type="spellStart"/>
            <w:r w:rsidRPr="00D97FE0">
              <w:rPr>
                <w:snapToGrid w:val="0"/>
                <w:lang w:eastAsia="en-US"/>
              </w:rPr>
              <w:t>адресою</w:t>
            </w:r>
            <w:proofErr w:type="spellEnd"/>
            <w:r w:rsidRPr="00D97FE0">
              <w:rPr>
                <w:snapToGrid w:val="0"/>
                <w:lang w:eastAsia="en-US"/>
              </w:rPr>
              <w:t>: м.</w:t>
            </w:r>
            <w:r>
              <w:rPr>
                <w:snapToGrid w:val="0"/>
                <w:lang w:eastAsia="en-US"/>
              </w:rPr>
              <w:t> </w:t>
            </w:r>
            <w:r w:rsidRPr="00D97FE0">
              <w:rPr>
                <w:snapToGrid w:val="0"/>
                <w:lang w:eastAsia="en-US"/>
              </w:rPr>
              <w:t>Київ, Львівська площа, 6</w:t>
            </w:r>
            <w:r w:rsidRPr="002F6A30">
              <w:t xml:space="preserve"> та комплексом будівель та</w:t>
            </w:r>
            <w:r>
              <w:t> </w:t>
            </w:r>
            <w:r w:rsidRPr="002F6A30">
              <w:t>споруд ДПС, про що свідчить надмірна наявність води у</w:t>
            </w:r>
            <w:r>
              <w:t> </w:t>
            </w:r>
            <w:r w:rsidRPr="002F6A30">
              <w:t xml:space="preserve">колодязі кабельних ліній електропередачі та надходження води до підвального приміщення Служби судової охорони за </w:t>
            </w:r>
            <w:proofErr w:type="spellStart"/>
            <w:r w:rsidRPr="002F6A30">
              <w:t>адресою</w:t>
            </w:r>
            <w:proofErr w:type="spellEnd"/>
            <w:r w:rsidRPr="002F6A30">
              <w:t>: м.</w:t>
            </w:r>
            <w:r>
              <w:t> </w:t>
            </w:r>
            <w:r w:rsidRPr="002F6A30">
              <w:t>Київ, Вознес</w:t>
            </w:r>
            <w:r>
              <w:t>е</w:t>
            </w:r>
            <w:r w:rsidRPr="002F6A30">
              <w:t>нський узвіз</w:t>
            </w:r>
            <w:r>
              <w:t>, буд.</w:t>
            </w:r>
            <w:r w:rsidRPr="002F6A30">
              <w:t xml:space="preserve"> 10б, яка </w:t>
            </w:r>
            <w:r w:rsidR="000328D9">
              <w:t xml:space="preserve">розташовується </w:t>
            </w:r>
            <w:r w:rsidRPr="002F6A30">
              <w:t>поруч. Для</w:t>
            </w:r>
            <w:r>
              <w:t> </w:t>
            </w:r>
            <w:r w:rsidRPr="002F6A30">
              <w:t>більш точного пошуку місця п</w:t>
            </w:r>
            <w:r w:rsidR="000328D9">
              <w:t>р</w:t>
            </w:r>
            <w:r w:rsidRPr="002F6A30">
              <w:t>ориву мережі теплопостачання ДПС та витоку теплоносія, ТОВ «КОМПАС ФМ» було запрошено профільну організацію та визначено точне місце п</w:t>
            </w:r>
            <w:r w:rsidR="000328D9">
              <w:t>р</w:t>
            </w:r>
            <w:bookmarkStart w:id="0" w:name="_GoBack"/>
            <w:bookmarkEnd w:id="0"/>
            <w:r w:rsidRPr="002F6A30">
              <w:t>ориву спеціальними технічними засобами.</w:t>
            </w:r>
          </w:p>
          <w:p w:rsidR="006B788E" w:rsidRPr="006B788E" w:rsidRDefault="006B788E" w:rsidP="006B788E">
            <w:pPr>
              <w:jc w:val="both"/>
              <w:rPr>
                <w:snapToGrid w:val="0"/>
                <w:lang w:eastAsia="en-US"/>
              </w:rPr>
            </w:pPr>
            <w:r w:rsidRPr="006B788E">
              <w:rPr>
                <w:snapToGrid w:val="0"/>
                <w:lang w:eastAsia="en-US"/>
              </w:rPr>
              <w:t>Проведення поточного ремонту дозволить:</w:t>
            </w:r>
          </w:p>
          <w:p w:rsidR="006B788E" w:rsidRPr="006B788E" w:rsidRDefault="006B788E" w:rsidP="006B788E">
            <w:pPr>
              <w:pStyle w:val="a7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6B788E">
              <w:rPr>
                <w:snapToGrid w:val="0"/>
                <w:sz w:val="24"/>
                <w:szCs w:val="24"/>
                <w:lang w:eastAsia="en-US"/>
              </w:rPr>
              <w:t>запобігти виникненню аварійних ситуацій; забезпечити надійну роботу систем в осінньо-зимовий період; зменшити витрати на енергоносії та воду; продовжити термін експлуатації мереж.</w:t>
            </w:r>
          </w:p>
          <w:p w:rsidR="00C60C02" w:rsidRPr="00257BC2" w:rsidRDefault="00C60C02" w:rsidP="00C60C02">
            <w:pPr>
              <w:pStyle w:val="a7"/>
              <w:tabs>
                <w:tab w:val="left" w:pos="567"/>
              </w:tabs>
              <w:jc w:val="both"/>
              <w:rPr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C60C02" w:rsidRPr="00F27860" w:rsidTr="000C37FE">
        <w:trPr>
          <w:trHeight w:val="2497"/>
        </w:trPr>
        <w:tc>
          <w:tcPr>
            <w:tcW w:w="421" w:type="dxa"/>
            <w:shd w:val="clear" w:color="auto" w:fill="auto"/>
          </w:tcPr>
          <w:p w:rsidR="00C60C02" w:rsidRPr="0065310A" w:rsidRDefault="00C60C02" w:rsidP="00C60C02">
            <w:r w:rsidRPr="0065310A">
              <w:t>3</w:t>
            </w:r>
          </w:p>
        </w:tc>
        <w:tc>
          <w:tcPr>
            <w:tcW w:w="2528" w:type="dxa"/>
            <w:shd w:val="clear" w:color="auto" w:fill="auto"/>
          </w:tcPr>
          <w:p w:rsidR="00C60C02" w:rsidRPr="00BE12F8" w:rsidRDefault="00C60C02" w:rsidP="00C60C0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C54CE7" w:rsidRPr="00257BC2" w:rsidRDefault="006B788E" w:rsidP="00C60C02">
            <w:pPr>
              <w:spacing w:line="256" w:lineRule="auto"/>
              <w:jc w:val="both"/>
              <w:rPr>
                <w:sz w:val="26"/>
                <w:szCs w:val="26"/>
              </w:rPr>
            </w:pPr>
            <w:r w:rsidRPr="008B51D4">
              <w:t>Розрахунок очікуваної вартості зазначених послуг було складено з</w:t>
            </w:r>
            <w:r>
              <w:t> </w:t>
            </w:r>
            <w:r w:rsidRPr="008B51D4">
              <w:t xml:space="preserve">урахуванням рекомендацій Примірної методики визначення очікуваної вартості предмета закупівлі, затвердженої наказом Мінекономіки від 18.02.2020 № 275 (зі змінами), зокрема використовуючи отримані комерційні пропозиції від учасників </w:t>
            </w:r>
            <w:r w:rsidRPr="00600043">
              <w:rPr>
                <w:spacing w:val="-6"/>
              </w:rPr>
              <w:t>ринку. Очікувана вартість предмета закупівлі становить 441 118,67 грн.</w:t>
            </w:r>
            <w:r>
              <w:rPr>
                <w:spacing w:val="-6"/>
              </w:rPr>
              <w:t xml:space="preserve"> </w:t>
            </w:r>
            <w:r>
              <w:t xml:space="preserve">Розмір бюджетного призначення відповідно до розрахунку до кошторису апарату ДПС на 2025 рік складає </w:t>
            </w:r>
            <w:r w:rsidRPr="00600043">
              <w:rPr>
                <w:spacing w:val="-6"/>
              </w:rPr>
              <w:t>441 118,67</w:t>
            </w:r>
            <w:r>
              <w:t> грн.</w:t>
            </w:r>
          </w:p>
          <w:p w:rsidR="00C60C02" w:rsidRPr="00C60C02" w:rsidRDefault="00C60C02" w:rsidP="00C60C02">
            <w:pPr>
              <w:jc w:val="both"/>
              <w:rPr>
                <w:sz w:val="26"/>
                <w:szCs w:val="26"/>
              </w:rPr>
            </w:pPr>
          </w:p>
        </w:tc>
      </w:tr>
    </w:tbl>
    <w:p w:rsidR="00030843" w:rsidRPr="00F27860" w:rsidRDefault="00030843" w:rsidP="00A358EF">
      <w:pPr>
        <w:rPr>
          <w:sz w:val="26"/>
          <w:szCs w:val="26"/>
        </w:rPr>
      </w:pPr>
      <w:bookmarkStart w:id="1" w:name="n87"/>
      <w:bookmarkStart w:id="2" w:name="n88"/>
      <w:bookmarkStart w:id="3" w:name="n89"/>
      <w:bookmarkStart w:id="4" w:name="n90"/>
      <w:bookmarkStart w:id="5" w:name="n91"/>
      <w:bookmarkStart w:id="6" w:name="n92"/>
      <w:bookmarkStart w:id="7" w:name="n101"/>
      <w:bookmarkStart w:id="8" w:name="n102"/>
      <w:bookmarkStart w:id="9" w:name="n103"/>
      <w:bookmarkStart w:id="10" w:name="n104"/>
      <w:bookmarkStart w:id="11" w:name="n105"/>
      <w:bookmarkStart w:id="12" w:name="n106"/>
      <w:bookmarkStart w:id="13" w:name="n115"/>
      <w:bookmarkStart w:id="14" w:name="n116"/>
      <w:bookmarkStart w:id="15" w:name="n117"/>
      <w:bookmarkStart w:id="16" w:name="n118"/>
      <w:bookmarkStart w:id="17" w:name="n119"/>
      <w:bookmarkStart w:id="18" w:name="n120"/>
      <w:bookmarkStart w:id="19" w:name="n121"/>
      <w:bookmarkStart w:id="20" w:name="n1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10223"/>
    <w:rsid w:val="00030843"/>
    <w:rsid w:val="00031061"/>
    <w:rsid w:val="000328D9"/>
    <w:rsid w:val="000C37FE"/>
    <w:rsid w:val="000F3D3F"/>
    <w:rsid w:val="00140E55"/>
    <w:rsid w:val="0017455D"/>
    <w:rsid w:val="001E4378"/>
    <w:rsid w:val="002201F5"/>
    <w:rsid w:val="00223803"/>
    <w:rsid w:val="00257BC2"/>
    <w:rsid w:val="0034047B"/>
    <w:rsid w:val="00387A03"/>
    <w:rsid w:val="003B41C5"/>
    <w:rsid w:val="003D6255"/>
    <w:rsid w:val="0040745C"/>
    <w:rsid w:val="00424EEB"/>
    <w:rsid w:val="004756A0"/>
    <w:rsid w:val="00497AD1"/>
    <w:rsid w:val="004F7C31"/>
    <w:rsid w:val="00534255"/>
    <w:rsid w:val="00556E5D"/>
    <w:rsid w:val="005D6CB1"/>
    <w:rsid w:val="0065310A"/>
    <w:rsid w:val="00655065"/>
    <w:rsid w:val="006B788E"/>
    <w:rsid w:val="006C6FA2"/>
    <w:rsid w:val="006D4166"/>
    <w:rsid w:val="007F4CEB"/>
    <w:rsid w:val="008009A0"/>
    <w:rsid w:val="00856A10"/>
    <w:rsid w:val="00860228"/>
    <w:rsid w:val="008610D0"/>
    <w:rsid w:val="00875463"/>
    <w:rsid w:val="0089273F"/>
    <w:rsid w:val="00987B34"/>
    <w:rsid w:val="00A138F4"/>
    <w:rsid w:val="00A358EF"/>
    <w:rsid w:val="00A40C4F"/>
    <w:rsid w:val="00A65D35"/>
    <w:rsid w:val="00A844E3"/>
    <w:rsid w:val="00AE008C"/>
    <w:rsid w:val="00B24514"/>
    <w:rsid w:val="00B43ABF"/>
    <w:rsid w:val="00BE12F8"/>
    <w:rsid w:val="00C54CE7"/>
    <w:rsid w:val="00C60C02"/>
    <w:rsid w:val="00CD63AB"/>
    <w:rsid w:val="00D9086C"/>
    <w:rsid w:val="00E12E75"/>
    <w:rsid w:val="00E30EDE"/>
    <w:rsid w:val="00E56345"/>
    <w:rsid w:val="00E64F6F"/>
    <w:rsid w:val="00E8180B"/>
    <w:rsid w:val="00E86E12"/>
    <w:rsid w:val="00ED29F4"/>
    <w:rsid w:val="00EE6AA6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3BC6"/>
  <w15:docId w15:val="{D00BEEF6-D3CC-4D08-87FE-1C4B251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788E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6B788E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B788E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788E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88E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88E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88E"/>
    <w:pPr>
      <w:numPr>
        <w:ilvl w:val="6"/>
        <w:numId w:val="3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88E"/>
    <w:pPr>
      <w:numPr>
        <w:ilvl w:val="7"/>
        <w:numId w:val="3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88E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3f3f3f3f3f3f3f3f3f3f3f3f3f3f3f3f3f3f3f3f3f3f3f3f3f3f3f3f3f3f3f3f3f3f3f3f3f3f1253f3f3f3f3f3f3f">
    <w:name w:val="С3fт3fи3fл3fь3f О3fс3fн3fо3fв3fн3fо3fй3f т3fе3fк3fс3fт3f + П3fо3f ш3fи3fр3fи3fн3fе3f П3fе3fр3fв3fа3fя3f с3fт3fр3fо3fк3fа3f:  125 с3fм3f П3fо3fс3fл3fе3f:  ..."/>
    <w:basedOn w:val="a"/>
    <w:rsid w:val="008610D0"/>
    <w:pPr>
      <w:suppressAutoHyphens/>
      <w:ind w:firstLine="709"/>
      <w:jc w:val="both"/>
      <w:textAlignment w:val="baseline"/>
    </w:pPr>
    <w:rPr>
      <w:color w:val="00000A"/>
      <w:kern w:val="1"/>
      <w:lang w:val="en-US" w:eastAsia="zh-CN"/>
    </w:rPr>
  </w:style>
  <w:style w:type="paragraph" w:styleId="a7">
    <w:name w:val="No Spacing"/>
    <w:uiPriority w:val="1"/>
    <w:qFormat/>
    <w:rsid w:val="00C60C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6B788E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6B788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6B788E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6B788E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6B788E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6B788E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6B788E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6B788E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6B788E"/>
    <w:rPr>
      <w:rFonts w:ascii="Arial" w:eastAsia="Times New Roman" w:hAnsi="Arial" w:cs="Arial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90AF-C46F-479A-82C8-689C1CA9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45</cp:revision>
  <cp:lastPrinted>2025-09-26T08:33:00Z</cp:lastPrinted>
  <dcterms:created xsi:type="dcterms:W3CDTF">2024-03-12T09:33:00Z</dcterms:created>
  <dcterms:modified xsi:type="dcterms:W3CDTF">2025-10-31T14:25:00Z</dcterms:modified>
</cp:coreProperties>
</file>