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BA" w:rsidRPr="00EA453D" w:rsidRDefault="00D15EBA" w:rsidP="00D15EBA">
      <w:pPr>
        <w:spacing w:after="0" w:line="240" w:lineRule="auto"/>
        <w:jc w:val="center"/>
        <w:rPr>
          <w:rFonts w:ascii="Times New Roman" w:hAnsi="Times New Roman" w:cs="Times New Roman"/>
          <w:b/>
          <w:sz w:val="26"/>
          <w:szCs w:val="26"/>
        </w:rPr>
      </w:pPr>
      <w:r w:rsidRPr="00EA453D">
        <w:rPr>
          <w:rFonts w:ascii="Times New Roman" w:hAnsi="Times New Roman" w:cs="Times New Roman"/>
          <w:b/>
          <w:sz w:val="26"/>
          <w:szCs w:val="26"/>
        </w:rPr>
        <w:t>Узагальнена інформація</w:t>
      </w:r>
    </w:p>
    <w:p w:rsidR="00D15EBA" w:rsidRPr="00EA453D" w:rsidRDefault="00D15EBA" w:rsidP="00D15EBA">
      <w:pPr>
        <w:spacing w:after="0" w:line="240" w:lineRule="auto"/>
        <w:jc w:val="center"/>
        <w:rPr>
          <w:rFonts w:ascii="Times New Roman" w:hAnsi="Times New Roman" w:cs="Times New Roman"/>
          <w:b/>
          <w:sz w:val="26"/>
          <w:szCs w:val="26"/>
        </w:rPr>
      </w:pPr>
      <w:r w:rsidRPr="00EA453D">
        <w:rPr>
          <w:rFonts w:ascii="Times New Roman" w:hAnsi="Times New Roman" w:cs="Times New Roman"/>
          <w:b/>
          <w:sz w:val="26"/>
          <w:szCs w:val="26"/>
        </w:rPr>
        <w:t>щодо наданих пропозицій та зауважень до проєкту наказу Міністерства фінансів України</w:t>
      </w:r>
    </w:p>
    <w:p w:rsidR="00D15EBA" w:rsidRPr="00EA453D" w:rsidRDefault="00D15EBA" w:rsidP="00D15EBA">
      <w:pPr>
        <w:spacing w:after="0" w:line="240" w:lineRule="auto"/>
        <w:jc w:val="center"/>
        <w:rPr>
          <w:rFonts w:ascii="Times New Roman" w:hAnsi="Times New Roman" w:cs="Times New Roman"/>
          <w:b/>
          <w:sz w:val="26"/>
          <w:szCs w:val="26"/>
        </w:rPr>
      </w:pPr>
      <w:r w:rsidRPr="00EA453D">
        <w:rPr>
          <w:rFonts w:ascii="Times New Roman" w:hAnsi="Times New Roman" w:cs="Times New Roman"/>
          <w:b/>
          <w:sz w:val="26"/>
          <w:szCs w:val="26"/>
        </w:rPr>
        <w:t>«</w:t>
      </w:r>
      <w:r w:rsidR="001726A1" w:rsidRPr="00EA453D">
        <w:rPr>
          <w:rFonts w:ascii="Times New Roman" w:hAnsi="Times New Roman" w:cs="Times New Roman"/>
          <w:b/>
          <w:sz w:val="26"/>
          <w:szCs w:val="26"/>
        </w:rPr>
        <w:t>«Про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w:t>
      </w:r>
    </w:p>
    <w:p w:rsidR="00035F03" w:rsidRPr="00EA453D" w:rsidRDefault="00035F03" w:rsidP="00D15EBA">
      <w:pPr>
        <w:spacing w:after="0" w:line="240" w:lineRule="auto"/>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5353"/>
        <w:gridCol w:w="5528"/>
        <w:gridCol w:w="2127"/>
        <w:gridCol w:w="2277"/>
      </w:tblGrid>
      <w:tr w:rsidR="00A81938" w:rsidRPr="00EA453D" w:rsidTr="00A81938">
        <w:trPr>
          <w:trHeight w:val="797"/>
        </w:trPr>
        <w:tc>
          <w:tcPr>
            <w:tcW w:w="5353"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Текст проєкту</w:t>
            </w:r>
          </w:p>
        </w:tc>
        <w:tc>
          <w:tcPr>
            <w:tcW w:w="5528"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Пропозиції та зауваження</w:t>
            </w:r>
          </w:p>
        </w:tc>
        <w:tc>
          <w:tcPr>
            <w:tcW w:w="2127"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Автор пропозицій та зауважень</w:t>
            </w:r>
          </w:p>
        </w:tc>
        <w:tc>
          <w:tcPr>
            <w:tcW w:w="2277"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Враховано/</w:t>
            </w:r>
          </w:p>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не враховано</w:t>
            </w:r>
          </w:p>
        </w:tc>
      </w:tr>
      <w:tr w:rsidR="00A81938" w:rsidRPr="00EA453D" w:rsidTr="00A81938">
        <w:tc>
          <w:tcPr>
            <w:tcW w:w="5353"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1</w:t>
            </w:r>
          </w:p>
        </w:tc>
        <w:tc>
          <w:tcPr>
            <w:tcW w:w="5528"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2</w:t>
            </w:r>
          </w:p>
        </w:tc>
        <w:tc>
          <w:tcPr>
            <w:tcW w:w="2127"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3</w:t>
            </w:r>
          </w:p>
        </w:tc>
        <w:tc>
          <w:tcPr>
            <w:tcW w:w="2277" w:type="dxa"/>
          </w:tcPr>
          <w:p w:rsidR="00D15EBA" w:rsidRPr="00EA453D" w:rsidRDefault="00D15EBA" w:rsidP="004203DA">
            <w:pPr>
              <w:jc w:val="center"/>
              <w:rPr>
                <w:rFonts w:ascii="Times New Roman" w:hAnsi="Times New Roman" w:cs="Times New Roman"/>
                <w:sz w:val="26"/>
                <w:szCs w:val="26"/>
              </w:rPr>
            </w:pPr>
            <w:r w:rsidRPr="00EA453D">
              <w:rPr>
                <w:rFonts w:ascii="Times New Roman" w:hAnsi="Times New Roman" w:cs="Times New Roman"/>
                <w:sz w:val="26"/>
                <w:szCs w:val="26"/>
              </w:rPr>
              <w:t>4</w:t>
            </w:r>
          </w:p>
        </w:tc>
      </w:tr>
      <w:tr w:rsidR="00A81938" w:rsidRPr="00EA453D" w:rsidTr="00A81938">
        <w:tc>
          <w:tcPr>
            <w:tcW w:w="15285" w:type="dxa"/>
            <w:gridSpan w:val="4"/>
          </w:tcPr>
          <w:p w:rsidR="00904F4C" w:rsidRPr="00EA453D" w:rsidRDefault="00160E3D" w:rsidP="004203DA">
            <w:pPr>
              <w:jc w:val="center"/>
              <w:rPr>
                <w:rFonts w:ascii="Times New Roman" w:hAnsi="Times New Roman" w:cs="Times New Roman"/>
                <w:b/>
                <w:sz w:val="26"/>
                <w:szCs w:val="26"/>
              </w:rPr>
            </w:pPr>
            <w:r w:rsidRPr="00EA453D">
              <w:rPr>
                <w:rFonts w:ascii="Times New Roman" w:hAnsi="Times New Roman" w:cs="Times New Roman"/>
                <w:b/>
                <w:sz w:val="28"/>
                <w:szCs w:val="28"/>
              </w:rPr>
              <w:t>Загальні пропозиції та зауваження</w:t>
            </w:r>
          </w:p>
        </w:tc>
      </w:tr>
      <w:tr w:rsidR="00A81938" w:rsidRPr="00EA453D" w:rsidTr="00A81938">
        <w:tc>
          <w:tcPr>
            <w:tcW w:w="5353" w:type="dxa"/>
          </w:tcPr>
          <w:p w:rsidR="0011519F" w:rsidRPr="00EA453D" w:rsidRDefault="00924BAA" w:rsidP="0083643E">
            <w:pPr>
              <w:pStyle w:val="a4"/>
              <w:spacing w:before="0" w:beforeAutospacing="0" w:after="0" w:afterAutospacing="0"/>
              <w:ind w:firstLine="709"/>
              <w:jc w:val="both"/>
              <w:rPr>
                <w:sz w:val="26"/>
                <w:szCs w:val="26"/>
              </w:rPr>
            </w:pPr>
            <w:r w:rsidRPr="00EA453D">
              <w:rPr>
                <w:sz w:val="26"/>
                <w:szCs w:val="26"/>
              </w:rPr>
              <w:t xml:space="preserve">В проєкті </w:t>
            </w:r>
            <w:r w:rsidR="00F34037" w:rsidRPr="00EA453D">
              <w:rPr>
                <w:sz w:val="26"/>
                <w:szCs w:val="26"/>
              </w:rPr>
              <w:t xml:space="preserve">в </w:t>
            </w:r>
            <w:r w:rsidR="00DE2371" w:rsidRPr="00EA453D">
              <w:rPr>
                <w:sz w:val="26"/>
                <w:szCs w:val="26"/>
              </w:rPr>
              <w:t>довід</w:t>
            </w:r>
            <w:r w:rsidR="00742D85" w:rsidRPr="00EA453D">
              <w:rPr>
                <w:sz w:val="26"/>
                <w:szCs w:val="26"/>
              </w:rPr>
              <w:t>ці</w:t>
            </w:r>
            <w:r w:rsidR="00DE2371" w:rsidRPr="00EA453D">
              <w:rPr>
                <w:sz w:val="26"/>
                <w:szCs w:val="26"/>
              </w:rPr>
              <w:t xml:space="preserve"> про фактичні залишки пального на початок та кінець звітного періоду та про фактичні обсяги отриманого та реалізованого пального за звітний період (далі – Довідка Д), довід</w:t>
            </w:r>
            <w:r w:rsidR="00742D85" w:rsidRPr="00EA453D">
              <w:rPr>
                <w:sz w:val="26"/>
                <w:szCs w:val="26"/>
              </w:rPr>
              <w:t>ці</w:t>
            </w:r>
            <w:r w:rsidR="00DE2371" w:rsidRPr="00EA453D">
              <w:rPr>
                <w:sz w:val="26"/>
                <w:szCs w:val="26"/>
              </w:rPr>
              <w:t xml:space="preserve"> виробника про фактичні залишки пального на початок та кінець звітної доби та про добові фактичні обсяги отриманого та реалізовано</w:t>
            </w:r>
            <w:r w:rsidR="00742D85" w:rsidRPr="00EA453D">
              <w:rPr>
                <w:sz w:val="26"/>
                <w:szCs w:val="26"/>
              </w:rPr>
              <w:t xml:space="preserve">го пального (далі – Довідка ДВ), </w:t>
            </w:r>
            <w:r w:rsidR="00416195" w:rsidRPr="00EA453D">
              <w:rPr>
                <w:sz w:val="26"/>
                <w:szCs w:val="26"/>
              </w:rPr>
              <w:t>довід</w:t>
            </w:r>
            <w:r w:rsidR="00742D85" w:rsidRPr="00EA453D">
              <w:rPr>
                <w:sz w:val="26"/>
                <w:szCs w:val="26"/>
              </w:rPr>
              <w:t>ці</w:t>
            </w:r>
            <w:r w:rsidR="00416195" w:rsidRPr="00EA453D">
              <w:rPr>
                <w:sz w:val="26"/>
                <w:szCs w:val="26"/>
              </w:rPr>
              <w:t xml:space="preserve">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та про фактичні обсяги отриманого та реалізованого пального за звітний період (далі – Довідка ДР)</w:t>
            </w:r>
            <w:r w:rsidR="00F34037" w:rsidRPr="00EA453D">
              <w:rPr>
                <w:sz w:val="26"/>
                <w:szCs w:val="26"/>
              </w:rPr>
              <w:t xml:space="preserve"> </w:t>
            </w:r>
            <w:r w:rsidRPr="00EA453D">
              <w:rPr>
                <w:sz w:val="26"/>
                <w:szCs w:val="26"/>
              </w:rPr>
              <w:t>передбачено переведення показ</w:t>
            </w:r>
            <w:r w:rsidR="00A44BEE" w:rsidRPr="00EA453D">
              <w:rPr>
                <w:sz w:val="26"/>
                <w:szCs w:val="26"/>
              </w:rPr>
              <w:t>ів</w:t>
            </w:r>
            <w:r w:rsidRPr="00EA453D">
              <w:rPr>
                <w:sz w:val="26"/>
                <w:szCs w:val="26"/>
              </w:rPr>
              <w:t xml:space="preserve"> </w:t>
            </w:r>
            <w:r w:rsidR="00537248" w:rsidRPr="00EA453D">
              <w:rPr>
                <w:sz w:val="26"/>
                <w:szCs w:val="26"/>
              </w:rPr>
              <w:t xml:space="preserve">витратомірів та інших </w:t>
            </w:r>
            <w:r w:rsidR="00A44BEE" w:rsidRPr="00EA453D">
              <w:rPr>
                <w:sz w:val="26"/>
                <w:szCs w:val="26"/>
              </w:rPr>
              <w:t xml:space="preserve">засобів </w:t>
            </w:r>
            <w:r w:rsidR="00537248" w:rsidRPr="00EA453D">
              <w:rPr>
                <w:sz w:val="26"/>
                <w:szCs w:val="26"/>
              </w:rPr>
              <w:t>вимірювальн</w:t>
            </w:r>
            <w:r w:rsidR="00A44BEE" w:rsidRPr="00EA453D">
              <w:rPr>
                <w:sz w:val="26"/>
                <w:szCs w:val="26"/>
              </w:rPr>
              <w:t xml:space="preserve">ої техніки </w:t>
            </w:r>
            <w:r w:rsidRPr="00EA453D">
              <w:rPr>
                <w:sz w:val="26"/>
                <w:szCs w:val="26"/>
              </w:rPr>
              <w:t xml:space="preserve">на початок та кінець звітного періоду </w:t>
            </w:r>
            <w:r w:rsidR="00537248" w:rsidRPr="00EA453D">
              <w:rPr>
                <w:sz w:val="26"/>
                <w:szCs w:val="26"/>
              </w:rPr>
              <w:t>з літрів у</w:t>
            </w:r>
            <w:r w:rsidRPr="00EA453D">
              <w:rPr>
                <w:sz w:val="26"/>
                <w:szCs w:val="26"/>
              </w:rPr>
              <w:t xml:space="preserve"> літри, приведені до температури </w:t>
            </w:r>
            <w:r w:rsidRPr="00EA453D">
              <w:rPr>
                <w:bCs/>
                <w:sz w:val="26"/>
                <w:szCs w:val="26"/>
              </w:rPr>
              <w:t>15 ºС, та обчисл</w:t>
            </w:r>
            <w:r w:rsidR="00F34037" w:rsidRPr="00EA453D">
              <w:rPr>
                <w:bCs/>
                <w:sz w:val="26"/>
                <w:szCs w:val="26"/>
              </w:rPr>
              <w:t xml:space="preserve">ення </w:t>
            </w:r>
            <w:r w:rsidRPr="00EA453D">
              <w:rPr>
                <w:bCs/>
                <w:sz w:val="26"/>
                <w:szCs w:val="26"/>
              </w:rPr>
              <w:t>обсяг</w:t>
            </w:r>
            <w:r w:rsidR="00F34037" w:rsidRPr="00EA453D">
              <w:rPr>
                <w:bCs/>
                <w:sz w:val="26"/>
                <w:szCs w:val="26"/>
              </w:rPr>
              <w:t>у</w:t>
            </w:r>
            <w:r w:rsidRPr="00EA453D">
              <w:rPr>
                <w:bCs/>
                <w:sz w:val="26"/>
                <w:szCs w:val="26"/>
              </w:rPr>
              <w:t xml:space="preserve"> реалізації </w:t>
            </w:r>
            <w:r w:rsidR="00F34037" w:rsidRPr="00EA453D">
              <w:rPr>
                <w:bCs/>
                <w:sz w:val="26"/>
                <w:szCs w:val="26"/>
              </w:rPr>
              <w:t xml:space="preserve">як </w:t>
            </w:r>
            <w:r w:rsidR="00F34037" w:rsidRPr="00EA453D">
              <w:rPr>
                <w:bCs/>
                <w:sz w:val="26"/>
                <w:szCs w:val="26"/>
              </w:rPr>
              <w:lastRenderedPageBreak/>
              <w:t xml:space="preserve">різниці між показниками </w:t>
            </w:r>
            <w:r w:rsidR="00BA3ABC" w:rsidRPr="00EA453D">
              <w:rPr>
                <w:bCs/>
                <w:sz w:val="26"/>
                <w:szCs w:val="26"/>
              </w:rPr>
              <w:t>(</w:t>
            </w:r>
            <w:r w:rsidR="00BA3ABC" w:rsidRPr="00EA453D">
              <w:rPr>
                <w:sz w:val="26"/>
                <w:szCs w:val="26"/>
              </w:rPr>
              <w:t xml:space="preserve">в літрах, приведених до температури </w:t>
            </w:r>
            <w:r w:rsidR="00BA3ABC" w:rsidRPr="00EA453D">
              <w:rPr>
                <w:bCs/>
                <w:sz w:val="26"/>
                <w:szCs w:val="26"/>
              </w:rPr>
              <w:t>15 ºС) на кінець та початок звітного періоду.</w:t>
            </w:r>
            <w:r w:rsidRPr="00EA453D">
              <w:rPr>
                <w:bCs/>
                <w:sz w:val="26"/>
                <w:szCs w:val="26"/>
              </w:rPr>
              <w:t xml:space="preserve"> </w:t>
            </w:r>
          </w:p>
        </w:tc>
        <w:tc>
          <w:tcPr>
            <w:tcW w:w="5528" w:type="dxa"/>
          </w:tcPr>
          <w:p w:rsidR="00906FFE" w:rsidRPr="00EA453D" w:rsidRDefault="00906FFE" w:rsidP="00785A36">
            <w:pPr>
              <w:jc w:val="both"/>
              <w:rPr>
                <w:rFonts w:ascii="Times New Roman" w:hAnsi="Times New Roman" w:cs="Times New Roman"/>
                <w:sz w:val="26"/>
                <w:szCs w:val="26"/>
              </w:rPr>
            </w:pPr>
            <w:r w:rsidRPr="00EA453D">
              <w:rPr>
                <w:rFonts w:ascii="Times New Roman" w:hAnsi="Times New Roman" w:cs="Times New Roman"/>
                <w:sz w:val="26"/>
                <w:szCs w:val="26"/>
              </w:rPr>
              <w:lastRenderedPageBreak/>
              <w:t xml:space="preserve">Для </w:t>
            </w:r>
            <w:r w:rsidR="00173AA3" w:rsidRPr="00EA453D">
              <w:rPr>
                <w:rFonts w:ascii="Times New Roman" w:hAnsi="Times New Roman" w:cs="Times New Roman"/>
                <w:sz w:val="26"/>
                <w:szCs w:val="26"/>
              </w:rPr>
              <w:t xml:space="preserve">коректного </w:t>
            </w:r>
            <w:r w:rsidRPr="00EA453D">
              <w:rPr>
                <w:rFonts w:ascii="Times New Roman" w:hAnsi="Times New Roman" w:cs="Times New Roman"/>
                <w:sz w:val="26"/>
                <w:szCs w:val="26"/>
              </w:rPr>
              <w:t xml:space="preserve">відображення обсягів пального в </w:t>
            </w:r>
            <w:r w:rsidR="00742D85" w:rsidRPr="00EA453D">
              <w:rPr>
                <w:rFonts w:ascii="Times New Roman" w:hAnsi="Times New Roman" w:cs="Times New Roman"/>
                <w:sz w:val="26"/>
                <w:szCs w:val="26"/>
              </w:rPr>
              <w:t>Д</w:t>
            </w:r>
            <w:r w:rsidRPr="00EA453D">
              <w:rPr>
                <w:rFonts w:ascii="Times New Roman" w:hAnsi="Times New Roman" w:cs="Times New Roman"/>
                <w:sz w:val="26"/>
                <w:szCs w:val="26"/>
              </w:rPr>
              <w:t xml:space="preserve">овідках </w:t>
            </w:r>
            <w:r w:rsidR="00F3457E" w:rsidRPr="00EA453D">
              <w:rPr>
                <w:rFonts w:ascii="Times New Roman" w:hAnsi="Times New Roman" w:cs="Times New Roman"/>
                <w:sz w:val="26"/>
                <w:szCs w:val="26"/>
              </w:rPr>
              <w:t>Д, ДВ та ДР</w:t>
            </w:r>
            <w:r w:rsidRPr="00EA453D">
              <w:rPr>
                <w:rFonts w:ascii="Times New Roman" w:hAnsi="Times New Roman" w:cs="Times New Roman"/>
                <w:sz w:val="26"/>
                <w:szCs w:val="26"/>
              </w:rPr>
              <w:t xml:space="preserve"> </w:t>
            </w:r>
            <w:r w:rsidR="00B52423" w:rsidRPr="00EA453D">
              <w:rPr>
                <w:rFonts w:ascii="Times New Roman" w:hAnsi="Times New Roman" w:cs="Times New Roman"/>
                <w:sz w:val="26"/>
                <w:szCs w:val="26"/>
              </w:rPr>
              <w:t xml:space="preserve">запропоновано </w:t>
            </w:r>
            <w:r w:rsidR="00870C03" w:rsidRPr="00EA453D">
              <w:rPr>
                <w:rFonts w:ascii="Times New Roman" w:hAnsi="Times New Roman" w:cs="Times New Roman"/>
                <w:sz w:val="26"/>
                <w:szCs w:val="26"/>
              </w:rPr>
              <w:t xml:space="preserve">змінити підхід до розрахунку обсягу реалізації </w:t>
            </w:r>
            <w:r w:rsidR="00B52423" w:rsidRPr="00EA453D">
              <w:rPr>
                <w:rFonts w:ascii="Times New Roman" w:hAnsi="Times New Roman" w:cs="Times New Roman"/>
                <w:sz w:val="26"/>
                <w:szCs w:val="26"/>
              </w:rPr>
              <w:t xml:space="preserve">за </w:t>
            </w:r>
            <w:r w:rsidR="00974BC5" w:rsidRPr="00EA453D">
              <w:rPr>
                <w:rFonts w:ascii="Times New Roman" w:hAnsi="Times New Roman" w:cs="Times New Roman"/>
                <w:sz w:val="26"/>
                <w:szCs w:val="26"/>
              </w:rPr>
              <w:t>показ</w:t>
            </w:r>
            <w:r w:rsidR="007C4F3D" w:rsidRPr="00EA453D">
              <w:rPr>
                <w:rFonts w:ascii="Times New Roman" w:hAnsi="Times New Roman" w:cs="Times New Roman"/>
                <w:sz w:val="26"/>
                <w:szCs w:val="26"/>
              </w:rPr>
              <w:t xml:space="preserve">ами </w:t>
            </w:r>
            <w:r w:rsidR="00974BC5" w:rsidRPr="00EA453D">
              <w:rPr>
                <w:rFonts w:ascii="Times New Roman" w:hAnsi="Times New Roman" w:cs="Times New Roman"/>
                <w:sz w:val="26"/>
                <w:szCs w:val="26"/>
              </w:rPr>
              <w:t xml:space="preserve">витратомірів та інших </w:t>
            </w:r>
            <w:r w:rsidR="007C4F3D" w:rsidRPr="00EA453D">
              <w:rPr>
                <w:rFonts w:ascii="Times New Roman" w:hAnsi="Times New Roman" w:cs="Times New Roman"/>
                <w:sz w:val="26"/>
                <w:szCs w:val="26"/>
              </w:rPr>
              <w:t xml:space="preserve">засобів </w:t>
            </w:r>
            <w:r w:rsidR="00974BC5" w:rsidRPr="00EA453D">
              <w:rPr>
                <w:rFonts w:ascii="Times New Roman" w:hAnsi="Times New Roman" w:cs="Times New Roman"/>
                <w:sz w:val="26"/>
                <w:szCs w:val="26"/>
              </w:rPr>
              <w:t>вимірювальн</w:t>
            </w:r>
            <w:r w:rsidR="007C4F3D" w:rsidRPr="00EA453D">
              <w:rPr>
                <w:rFonts w:ascii="Times New Roman" w:hAnsi="Times New Roman" w:cs="Times New Roman"/>
                <w:sz w:val="26"/>
                <w:szCs w:val="26"/>
              </w:rPr>
              <w:t>ої</w:t>
            </w:r>
            <w:r w:rsidR="00974BC5" w:rsidRPr="00EA453D">
              <w:rPr>
                <w:rFonts w:ascii="Times New Roman" w:hAnsi="Times New Roman" w:cs="Times New Roman"/>
                <w:sz w:val="26"/>
                <w:szCs w:val="26"/>
              </w:rPr>
              <w:t xml:space="preserve"> </w:t>
            </w:r>
            <w:r w:rsidR="007C4F3D" w:rsidRPr="00EA453D">
              <w:rPr>
                <w:rFonts w:ascii="Times New Roman" w:hAnsi="Times New Roman" w:cs="Times New Roman"/>
                <w:sz w:val="26"/>
                <w:szCs w:val="26"/>
              </w:rPr>
              <w:t>техніки</w:t>
            </w:r>
            <w:r w:rsidR="00974BC5" w:rsidRPr="00EA453D">
              <w:rPr>
                <w:rFonts w:ascii="Times New Roman" w:hAnsi="Times New Roman" w:cs="Times New Roman"/>
                <w:sz w:val="26"/>
                <w:szCs w:val="26"/>
              </w:rPr>
              <w:t>, а саме</w:t>
            </w:r>
            <w:r w:rsidRPr="00EA453D">
              <w:rPr>
                <w:rFonts w:ascii="Times New Roman" w:hAnsi="Times New Roman" w:cs="Times New Roman"/>
                <w:sz w:val="26"/>
                <w:szCs w:val="26"/>
              </w:rPr>
              <w:t>:</w:t>
            </w:r>
          </w:p>
          <w:p w:rsidR="00906FFE" w:rsidRPr="00EA453D" w:rsidRDefault="00906FFE" w:rsidP="00785A36">
            <w:pPr>
              <w:jc w:val="both"/>
              <w:rPr>
                <w:rFonts w:ascii="Times New Roman" w:hAnsi="Times New Roman" w:cs="Times New Roman"/>
                <w:sz w:val="26"/>
                <w:szCs w:val="26"/>
              </w:rPr>
            </w:pPr>
            <w:r w:rsidRPr="00EA453D">
              <w:rPr>
                <w:rFonts w:ascii="Times New Roman" w:hAnsi="Times New Roman" w:cs="Times New Roman"/>
                <w:sz w:val="26"/>
                <w:szCs w:val="26"/>
              </w:rPr>
              <w:t>спочатку обчислювати обсяг реалізації в літрах як різницю між показ</w:t>
            </w:r>
            <w:r w:rsidR="007C4F3D" w:rsidRPr="00EA453D">
              <w:rPr>
                <w:rFonts w:ascii="Times New Roman" w:hAnsi="Times New Roman" w:cs="Times New Roman"/>
                <w:sz w:val="26"/>
                <w:szCs w:val="26"/>
              </w:rPr>
              <w:t>ами</w:t>
            </w:r>
            <w:r w:rsidRPr="00EA453D">
              <w:rPr>
                <w:rFonts w:ascii="Times New Roman" w:hAnsi="Times New Roman" w:cs="Times New Roman"/>
                <w:sz w:val="26"/>
                <w:szCs w:val="26"/>
              </w:rPr>
              <w:t xml:space="preserve"> </w:t>
            </w:r>
            <w:r w:rsidR="00785A36" w:rsidRPr="00EA453D">
              <w:rPr>
                <w:rFonts w:ascii="Times New Roman" w:hAnsi="Times New Roman" w:cs="Times New Roman"/>
                <w:sz w:val="26"/>
                <w:szCs w:val="26"/>
              </w:rPr>
              <w:t xml:space="preserve">витратомірів </w:t>
            </w:r>
            <w:r w:rsidR="00010253" w:rsidRPr="00EA453D">
              <w:rPr>
                <w:rFonts w:ascii="Times New Roman" w:hAnsi="Times New Roman" w:cs="Times New Roman"/>
                <w:sz w:val="26"/>
                <w:szCs w:val="26"/>
              </w:rPr>
              <w:t xml:space="preserve">та інших </w:t>
            </w:r>
            <w:r w:rsidR="007C4F3D" w:rsidRPr="00EA453D">
              <w:rPr>
                <w:rFonts w:ascii="Times New Roman" w:hAnsi="Times New Roman" w:cs="Times New Roman"/>
                <w:sz w:val="26"/>
                <w:szCs w:val="26"/>
              </w:rPr>
              <w:t xml:space="preserve">засобів вимірювальної техніки </w:t>
            </w:r>
            <w:r w:rsidRPr="00EA453D">
              <w:rPr>
                <w:rFonts w:ascii="Times New Roman" w:hAnsi="Times New Roman" w:cs="Times New Roman"/>
                <w:sz w:val="26"/>
                <w:szCs w:val="26"/>
              </w:rPr>
              <w:t>на кінець та на початок звітного періоду;</w:t>
            </w:r>
          </w:p>
          <w:p w:rsidR="0011519F" w:rsidRPr="00EA453D" w:rsidRDefault="00906FFE" w:rsidP="00785A36">
            <w:pPr>
              <w:jc w:val="both"/>
              <w:rPr>
                <w:rFonts w:ascii="Times New Roman" w:hAnsi="Times New Roman" w:cs="Times New Roman"/>
                <w:sz w:val="26"/>
                <w:szCs w:val="26"/>
              </w:rPr>
            </w:pPr>
            <w:r w:rsidRPr="00EA453D">
              <w:rPr>
                <w:rFonts w:ascii="Times New Roman" w:hAnsi="Times New Roman" w:cs="Times New Roman"/>
                <w:sz w:val="26"/>
                <w:szCs w:val="26"/>
              </w:rPr>
              <w:t>о</w:t>
            </w:r>
            <w:r w:rsidR="00D34CB2" w:rsidRPr="00EA453D">
              <w:rPr>
                <w:rFonts w:ascii="Times New Roman" w:hAnsi="Times New Roman" w:cs="Times New Roman"/>
                <w:sz w:val="26"/>
                <w:szCs w:val="26"/>
              </w:rPr>
              <w:t>бчислений</w:t>
            </w:r>
            <w:r w:rsidR="0083643E" w:rsidRPr="00EA453D">
              <w:rPr>
                <w:rFonts w:ascii="Times New Roman" w:hAnsi="Times New Roman" w:cs="Times New Roman"/>
                <w:sz w:val="26"/>
                <w:szCs w:val="26"/>
              </w:rPr>
              <w:t xml:space="preserve"> </w:t>
            </w:r>
            <w:r w:rsidR="00870C03" w:rsidRPr="00EA453D">
              <w:rPr>
                <w:rFonts w:ascii="Times New Roman" w:hAnsi="Times New Roman" w:cs="Times New Roman"/>
                <w:sz w:val="26"/>
                <w:szCs w:val="26"/>
              </w:rPr>
              <w:t xml:space="preserve">обсяг </w:t>
            </w:r>
            <w:r w:rsidRPr="00EA453D">
              <w:rPr>
                <w:rFonts w:ascii="Times New Roman" w:hAnsi="Times New Roman" w:cs="Times New Roman"/>
                <w:sz w:val="26"/>
                <w:szCs w:val="26"/>
              </w:rPr>
              <w:t xml:space="preserve">реалізації в літрах переводити в літри, приведені до температури </w:t>
            </w:r>
            <w:r w:rsidRPr="00EA453D">
              <w:rPr>
                <w:rFonts w:ascii="Times New Roman" w:hAnsi="Times New Roman" w:cs="Times New Roman"/>
                <w:bCs/>
                <w:sz w:val="26"/>
                <w:szCs w:val="26"/>
              </w:rPr>
              <w:t>15 ºС</w:t>
            </w:r>
            <w:r w:rsidRPr="00EA453D">
              <w:rPr>
                <w:rFonts w:ascii="Times New Roman" w:hAnsi="Times New Roman" w:cs="Times New Roman"/>
                <w:sz w:val="26"/>
                <w:szCs w:val="26"/>
              </w:rPr>
              <w:t>.</w:t>
            </w:r>
          </w:p>
          <w:p w:rsidR="00B52423" w:rsidRPr="00EA453D" w:rsidRDefault="00B52423" w:rsidP="00785A36">
            <w:pPr>
              <w:jc w:val="both"/>
              <w:rPr>
                <w:rFonts w:ascii="Times New Roman" w:hAnsi="Times New Roman" w:cs="Times New Roman"/>
                <w:sz w:val="26"/>
                <w:szCs w:val="26"/>
              </w:rPr>
            </w:pPr>
          </w:p>
          <w:p w:rsidR="00785A36" w:rsidRPr="00EA453D" w:rsidRDefault="00785A36" w:rsidP="00785A36">
            <w:pPr>
              <w:jc w:val="both"/>
              <w:rPr>
                <w:rFonts w:ascii="Times New Roman" w:hAnsi="Times New Roman" w:cs="Times New Roman"/>
                <w:sz w:val="26"/>
                <w:szCs w:val="26"/>
              </w:rPr>
            </w:pPr>
            <w:r w:rsidRPr="00EA453D">
              <w:rPr>
                <w:rFonts w:ascii="Times New Roman" w:hAnsi="Times New Roman" w:cs="Times New Roman"/>
                <w:sz w:val="26"/>
                <w:szCs w:val="26"/>
              </w:rPr>
              <w:t xml:space="preserve">Внести відповідні </w:t>
            </w:r>
            <w:r w:rsidR="0042438F" w:rsidRPr="00EA453D">
              <w:rPr>
                <w:rFonts w:ascii="Times New Roman" w:hAnsi="Times New Roman" w:cs="Times New Roman"/>
                <w:sz w:val="26"/>
                <w:szCs w:val="26"/>
              </w:rPr>
              <w:t>зміни до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w:t>
            </w:r>
            <w:r w:rsidR="002E370D" w:rsidRPr="00EA453D">
              <w:rPr>
                <w:rFonts w:ascii="Times New Roman" w:hAnsi="Times New Roman" w:cs="Times New Roman"/>
                <w:sz w:val="26"/>
                <w:szCs w:val="26"/>
              </w:rPr>
              <w:t xml:space="preserve"> (далі – Порядок)</w:t>
            </w:r>
          </w:p>
        </w:tc>
        <w:tc>
          <w:tcPr>
            <w:tcW w:w="2127" w:type="dxa"/>
          </w:tcPr>
          <w:p w:rsidR="0011519F" w:rsidRPr="00EA453D" w:rsidRDefault="00C37410" w:rsidP="00C37410">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11519F" w:rsidRPr="00EA453D" w:rsidRDefault="00785A36" w:rsidP="004203DA">
            <w:pPr>
              <w:jc w:val="center"/>
              <w:rPr>
                <w:rFonts w:ascii="Times New Roman" w:hAnsi="Times New Roman" w:cs="Times New Roman"/>
                <w:sz w:val="26"/>
                <w:szCs w:val="26"/>
              </w:rPr>
            </w:pPr>
            <w:r w:rsidRPr="00EA453D">
              <w:rPr>
                <w:rFonts w:ascii="Times New Roman" w:hAnsi="Times New Roman" w:cs="Times New Roman"/>
                <w:sz w:val="26"/>
                <w:szCs w:val="26"/>
              </w:rPr>
              <w:t>Враховано</w:t>
            </w: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p w:rsidR="00974BC5" w:rsidRPr="00EA453D" w:rsidRDefault="00974BC5" w:rsidP="004203DA">
            <w:pPr>
              <w:jc w:val="center"/>
              <w:rPr>
                <w:rFonts w:ascii="Times New Roman" w:hAnsi="Times New Roman" w:cs="Times New Roman"/>
                <w:sz w:val="26"/>
                <w:szCs w:val="26"/>
              </w:rPr>
            </w:pPr>
          </w:p>
          <w:p w:rsidR="00974BC5" w:rsidRPr="00EA453D" w:rsidRDefault="00974BC5" w:rsidP="004203DA">
            <w:pPr>
              <w:jc w:val="center"/>
              <w:rPr>
                <w:rFonts w:ascii="Times New Roman" w:hAnsi="Times New Roman" w:cs="Times New Roman"/>
                <w:sz w:val="26"/>
                <w:szCs w:val="26"/>
              </w:rPr>
            </w:pPr>
          </w:p>
          <w:p w:rsidR="0042438F" w:rsidRPr="00EA453D" w:rsidRDefault="0042438F" w:rsidP="004203DA">
            <w:pPr>
              <w:jc w:val="center"/>
              <w:rPr>
                <w:rFonts w:ascii="Times New Roman" w:hAnsi="Times New Roman" w:cs="Times New Roman"/>
                <w:sz w:val="26"/>
                <w:szCs w:val="26"/>
              </w:rPr>
            </w:pPr>
          </w:p>
        </w:tc>
      </w:tr>
      <w:tr w:rsidR="00173AA3" w:rsidRPr="00EA453D" w:rsidTr="00A81938">
        <w:tc>
          <w:tcPr>
            <w:tcW w:w="5353" w:type="dxa"/>
          </w:tcPr>
          <w:p w:rsidR="00173AA3" w:rsidRPr="00EA453D" w:rsidRDefault="00173AA3" w:rsidP="004203DA">
            <w:pPr>
              <w:jc w:val="center"/>
              <w:rPr>
                <w:rFonts w:ascii="Times New Roman" w:hAnsi="Times New Roman" w:cs="Times New Roman"/>
                <w:sz w:val="26"/>
                <w:szCs w:val="26"/>
              </w:rPr>
            </w:pPr>
          </w:p>
        </w:tc>
        <w:tc>
          <w:tcPr>
            <w:tcW w:w="5528" w:type="dxa"/>
          </w:tcPr>
          <w:p w:rsidR="00173AA3" w:rsidRPr="00EA453D" w:rsidRDefault="00173AA3" w:rsidP="002E370D">
            <w:pPr>
              <w:jc w:val="both"/>
              <w:rPr>
                <w:rFonts w:ascii="Times New Roman" w:hAnsi="Times New Roman" w:cs="Times New Roman"/>
                <w:noProof/>
                <w:sz w:val="26"/>
                <w:szCs w:val="26"/>
              </w:rPr>
            </w:pPr>
            <w:r w:rsidRPr="00EA453D">
              <w:rPr>
                <w:rFonts w:ascii="Times New Roman" w:hAnsi="Times New Roman" w:cs="Times New Roman"/>
                <w:noProof/>
                <w:sz w:val="26"/>
                <w:szCs w:val="26"/>
              </w:rPr>
              <w:t xml:space="preserve">Відображати в довідках </w:t>
            </w:r>
            <w:r w:rsidR="000D2034" w:rsidRPr="00EA453D">
              <w:rPr>
                <w:rFonts w:ascii="Times New Roman" w:hAnsi="Times New Roman" w:cs="Times New Roman"/>
                <w:noProof/>
                <w:sz w:val="26"/>
                <w:szCs w:val="26"/>
              </w:rPr>
              <w:t xml:space="preserve">Д, ДВ, ДР </w:t>
            </w:r>
            <w:r w:rsidRPr="00EA453D">
              <w:rPr>
                <w:rFonts w:ascii="Times New Roman" w:hAnsi="Times New Roman" w:cs="Times New Roman"/>
                <w:noProof/>
                <w:sz w:val="26"/>
                <w:szCs w:val="26"/>
              </w:rPr>
              <w:t>в окремій графі технічні проливи – обсяги пального, які  проходять через витратомір або інший вимірювальний засіб та повертаються в резервуар (застосовується при ремонтах, повірках, перевірках, тощо).</w:t>
            </w:r>
          </w:p>
          <w:p w:rsidR="00173AA3" w:rsidRPr="00EA453D" w:rsidRDefault="000D2034" w:rsidP="002E370D">
            <w:pPr>
              <w:jc w:val="both"/>
              <w:rPr>
                <w:rFonts w:ascii="Times New Roman" w:hAnsi="Times New Roman" w:cs="Times New Roman"/>
                <w:noProof/>
                <w:sz w:val="26"/>
                <w:szCs w:val="26"/>
              </w:rPr>
            </w:pPr>
            <w:r w:rsidRPr="00EA453D">
              <w:rPr>
                <w:rFonts w:ascii="Times New Roman" w:hAnsi="Times New Roman" w:cs="Times New Roman"/>
                <w:sz w:val="26"/>
                <w:szCs w:val="26"/>
              </w:rPr>
              <w:t xml:space="preserve">Для коректного </w:t>
            </w:r>
            <w:r w:rsidR="00173AA3" w:rsidRPr="00EA453D">
              <w:rPr>
                <w:rFonts w:ascii="Times New Roman" w:hAnsi="Times New Roman" w:cs="Times New Roman"/>
                <w:sz w:val="26"/>
                <w:szCs w:val="26"/>
              </w:rPr>
              <w:t>обчисленн</w:t>
            </w:r>
            <w:r w:rsidR="000E4DAB" w:rsidRPr="00EA453D">
              <w:rPr>
                <w:rFonts w:ascii="Times New Roman" w:hAnsi="Times New Roman" w:cs="Times New Roman"/>
                <w:sz w:val="26"/>
                <w:szCs w:val="26"/>
              </w:rPr>
              <w:t>я</w:t>
            </w:r>
            <w:r w:rsidR="00173AA3" w:rsidRPr="00EA453D">
              <w:rPr>
                <w:rFonts w:ascii="Times New Roman" w:hAnsi="Times New Roman" w:cs="Times New Roman"/>
                <w:sz w:val="26"/>
                <w:szCs w:val="26"/>
              </w:rPr>
              <w:t xml:space="preserve"> обсягу реалізації за показами витратомірів та інших </w:t>
            </w:r>
            <w:r w:rsidR="000E4DAB" w:rsidRPr="00EA453D">
              <w:rPr>
                <w:rFonts w:ascii="Times New Roman" w:hAnsi="Times New Roman" w:cs="Times New Roman"/>
                <w:sz w:val="26"/>
                <w:szCs w:val="26"/>
              </w:rPr>
              <w:t xml:space="preserve">засобів вимірювальної техніки </w:t>
            </w:r>
            <w:r w:rsidR="00173AA3" w:rsidRPr="00EA453D">
              <w:rPr>
                <w:rFonts w:ascii="Times New Roman" w:hAnsi="Times New Roman" w:cs="Times New Roman"/>
                <w:sz w:val="26"/>
                <w:szCs w:val="26"/>
              </w:rPr>
              <w:t>враховувати обсяги технічних проливів як показник, що зменшує обсяг реалізації.</w:t>
            </w:r>
            <w:r w:rsidR="00173AA3" w:rsidRPr="00EA453D">
              <w:rPr>
                <w:rFonts w:ascii="Times New Roman" w:hAnsi="Times New Roman" w:cs="Times New Roman"/>
                <w:noProof/>
                <w:sz w:val="26"/>
                <w:szCs w:val="26"/>
              </w:rPr>
              <w:t xml:space="preserve"> </w:t>
            </w:r>
          </w:p>
          <w:p w:rsidR="00173AA3" w:rsidRPr="00EA453D" w:rsidRDefault="00173AA3" w:rsidP="00621F19">
            <w:pPr>
              <w:jc w:val="both"/>
              <w:rPr>
                <w:rFonts w:ascii="Times New Roman" w:hAnsi="Times New Roman" w:cs="Times New Roman"/>
                <w:sz w:val="26"/>
                <w:szCs w:val="26"/>
              </w:rPr>
            </w:pPr>
            <w:r w:rsidRPr="00EA453D">
              <w:rPr>
                <w:rFonts w:ascii="Times New Roman" w:hAnsi="Times New Roman" w:cs="Times New Roman"/>
                <w:noProof/>
                <w:sz w:val="26"/>
                <w:szCs w:val="26"/>
              </w:rPr>
              <w:t xml:space="preserve">Внести відповідні зміни до Порядку, до  Формату </w:t>
            </w:r>
            <w:r w:rsidRPr="00EA453D">
              <w:rPr>
                <w:rFonts w:ascii="Times New Roman" w:eastAsia="Times New Roman" w:hAnsi="Times New Roman" w:cs="Times New Roman"/>
                <w:sz w:val="26"/>
                <w:szCs w:val="26"/>
              </w:rPr>
              <w:t>даних та структури Єдиного державного реєстру витратомірів-лічильників і рівнемірів-лічильників рівня пального у резервуарі (далі – Формат)</w:t>
            </w:r>
            <w:r w:rsidRPr="00EA453D">
              <w:rPr>
                <w:rFonts w:ascii="Times New Roman" w:hAnsi="Times New Roman" w:cs="Times New Roman"/>
                <w:noProof/>
                <w:sz w:val="26"/>
                <w:szCs w:val="26"/>
              </w:rPr>
              <w:t>.</w:t>
            </w:r>
          </w:p>
        </w:tc>
        <w:tc>
          <w:tcPr>
            <w:tcW w:w="2127" w:type="dxa"/>
          </w:tcPr>
          <w:p w:rsidR="00173AA3" w:rsidRPr="00EA453D" w:rsidRDefault="00173AA3" w:rsidP="000E710B">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173AA3" w:rsidRPr="00EA453D" w:rsidRDefault="00173AA3" w:rsidP="001268A9">
            <w:pPr>
              <w:jc w:val="both"/>
              <w:rPr>
                <w:rFonts w:ascii="Times New Roman" w:hAnsi="Times New Roman" w:cs="Times New Roman"/>
                <w:sz w:val="26"/>
                <w:szCs w:val="26"/>
              </w:rPr>
            </w:pPr>
            <w:r w:rsidRPr="00EA453D">
              <w:rPr>
                <w:rFonts w:ascii="Times New Roman" w:hAnsi="Times New Roman" w:cs="Times New Roman"/>
                <w:sz w:val="26"/>
                <w:szCs w:val="26"/>
              </w:rPr>
              <w:t xml:space="preserve">Враховано по суті. </w:t>
            </w:r>
          </w:p>
          <w:p w:rsidR="00173AA3" w:rsidRPr="00EA453D" w:rsidRDefault="00173AA3" w:rsidP="007B6B9F">
            <w:pPr>
              <w:jc w:val="both"/>
              <w:rPr>
                <w:rFonts w:ascii="Times New Roman" w:hAnsi="Times New Roman" w:cs="Times New Roman"/>
                <w:sz w:val="26"/>
                <w:szCs w:val="26"/>
              </w:rPr>
            </w:pPr>
            <w:r w:rsidRPr="00EA453D">
              <w:rPr>
                <w:rFonts w:ascii="Times New Roman" w:hAnsi="Times New Roman" w:cs="Times New Roman"/>
                <w:sz w:val="26"/>
                <w:szCs w:val="26"/>
              </w:rPr>
              <w:t>Запропонований термін «технічні проливи», який є технічним терміном, в Довідках</w:t>
            </w:r>
            <w:r w:rsidR="007B6B9F" w:rsidRPr="00EA453D">
              <w:rPr>
                <w:rFonts w:ascii="Times New Roman" w:hAnsi="Times New Roman" w:cs="Times New Roman"/>
                <w:sz w:val="26"/>
                <w:szCs w:val="26"/>
                <w:lang w:val="ru-RU"/>
              </w:rPr>
              <w:t xml:space="preserve"> (</w:t>
            </w:r>
            <w:r w:rsidR="007B6B9F" w:rsidRPr="00EA453D">
              <w:rPr>
                <w:rFonts w:ascii="Times New Roman" w:hAnsi="Times New Roman" w:cs="Times New Roman"/>
                <w:noProof/>
                <w:sz w:val="26"/>
                <w:szCs w:val="26"/>
              </w:rPr>
              <w:t>Д, ДВ, ДР</w:t>
            </w:r>
            <w:r w:rsidR="007B6B9F" w:rsidRPr="00EA453D">
              <w:rPr>
                <w:rFonts w:ascii="Times New Roman" w:hAnsi="Times New Roman" w:cs="Times New Roman"/>
                <w:noProof/>
                <w:sz w:val="26"/>
                <w:szCs w:val="26"/>
                <w:lang w:val="ru-RU"/>
              </w:rPr>
              <w:t>)</w:t>
            </w:r>
            <w:r w:rsidR="00AD558B" w:rsidRPr="00EA453D">
              <w:rPr>
                <w:rFonts w:ascii="Times New Roman" w:hAnsi="Times New Roman" w:cs="Times New Roman"/>
                <w:noProof/>
                <w:sz w:val="26"/>
                <w:szCs w:val="26"/>
                <w:lang w:val="ru-RU"/>
              </w:rPr>
              <w:t>,</w:t>
            </w:r>
            <w:r w:rsidRPr="00EA453D">
              <w:rPr>
                <w:rFonts w:ascii="Times New Roman" w:hAnsi="Times New Roman" w:cs="Times New Roman"/>
                <w:sz w:val="26"/>
                <w:szCs w:val="26"/>
              </w:rPr>
              <w:t xml:space="preserve"> Форматі та Порядку замінено на термін «обсяги пального, повернутого до резервуару після проведення перевірки точності відпуску пального за допомогою еталонних мірників</w:t>
            </w:r>
            <w:r w:rsidR="000E4DAB" w:rsidRPr="00EA453D">
              <w:rPr>
                <w:rFonts w:ascii="Times New Roman" w:hAnsi="Times New Roman" w:cs="Times New Roman"/>
                <w:sz w:val="26"/>
                <w:szCs w:val="26"/>
              </w:rPr>
              <w:t>»</w:t>
            </w:r>
            <w:r w:rsidRPr="00EA453D">
              <w:rPr>
                <w:rFonts w:ascii="Times New Roman" w:hAnsi="Times New Roman" w:cs="Times New Roman"/>
                <w:sz w:val="26"/>
                <w:szCs w:val="26"/>
              </w:rPr>
              <w:t xml:space="preserve">. </w:t>
            </w:r>
          </w:p>
        </w:tc>
      </w:tr>
      <w:tr w:rsidR="003D40B0" w:rsidRPr="00EA453D" w:rsidTr="00A81938">
        <w:tc>
          <w:tcPr>
            <w:tcW w:w="5353" w:type="dxa"/>
          </w:tcPr>
          <w:p w:rsidR="003D40B0" w:rsidRPr="00EA453D" w:rsidRDefault="003D40B0" w:rsidP="00A104BF">
            <w:pPr>
              <w:jc w:val="both"/>
              <w:rPr>
                <w:rFonts w:ascii="Times New Roman" w:hAnsi="Times New Roman" w:cs="Times New Roman"/>
                <w:sz w:val="26"/>
                <w:szCs w:val="26"/>
              </w:rPr>
            </w:pPr>
            <w:r w:rsidRPr="00EA453D">
              <w:rPr>
                <w:rFonts w:ascii="Times New Roman" w:hAnsi="Times New Roman" w:cs="Times New Roman"/>
                <w:sz w:val="26"/>
                <w:szCs w:val="26"/>
              </w:rPr>
              <w:t>В Довідках Д, ДВ, ДР та Порядку передбачено, що обсяг втраченого пального зазначається за даними акцизних накладних, зареєстрованих в Єдиному реєстрі акцизних накладних</w:t>
            </w:r>
          </w:p>
        </w:tc>
        <w:tc>
          <w:tcPr>
            <w:tcW w:w="5528" w:type="dxa"/>
          </w:tcPr>
          <w:p w:rsidR="003D40B0" w:rsidRPr="00EA453D" w:rsidRDefault="003D40B0" w:rsidP="00A104BF">
            <w:pPr>
              <w:jc w:val="both"/>
              <w:rPr>
                <w:rFonts w:ascii="Times New Roman" w:hAnsi="Times New Roman" w:cs="Times New Roman"/>
                <w:sz w:val="26"/>
                <w:szCs w:val="26"/>
              </w:rPr>
            </w:pPr>
            <w:r w:rsidRPr="00EA453D">
              <w:rPr>
                <w:rFonts w:ascii="Times New Roman" w:hAnsi="Times New Roman" w:cs="Times New Roman"/>
                <w:sz w:val="26"/>
                <w:szCs w:val="26"/>
              </w:rPr>
              <w:t xml:space="preserve">Запропоновано визначати обсяг втраченого пального за даними первинних бухгалтерських документів </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A104BF">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A81938">
        <w:tc>
          <w:tcPr>
            <w:tcW w:w="5353" w:type="dxa"/>
          </w:tcPr>
          <w:p w:rsidR="003D40B0" w:rsidRPr="00EA453D" w:rsidRDefault="003D40B0" w:rsidP="00831CB2">
            <w:pPr>
              <w:jc w:val="both"/>
              <w:rPr>
                <w:rFonts w:ascii="Times New Roman" w:hAnsi="Times New Roman" w:cs="Times New Roman"/>
                <w:sz w:val="26"/>
                <w:szCs w:val="26"/>
              </w:rPr>
            </w:pPr>
            <w:r w:rsidRPr="00EA453D">
              <w:rPr>
                <w:rFonts w:ascii="Times New Roman" w:hAnsi="Times New Roman" w:cs="Times New Roman"/>
                <w:sz w:val="26"/>
                <w:szCs w:val="26"/>
              </w:rPr>
              <w:t xml:space="preserve">В Порядку визначено, що в одному рядку Таблиць 1 та 2 Довідки Д, Таблиці 1 Довідки ДВ, Таблиць 1 та 2 Довідки ДР можуть </w:t>
            </w:r>
            <w:r w:rsidRPr="00EA453D">
              <w:rPr>
                <w:rFonts w:ascii="Times New Roman" w:hAnsi="Times New Roman" w:cs="Times New Roman"/>
                <w:sz w:val="26"/>
                <w:szCs w:val="26"/>
              </w:rPr>
              <w:lastRenderedPageBreak/>
              <w:t>зазначатися дані про обсяг пального або за показами витратомірів (чи рівнемірів),  або за показами інших засобів вимірювальної техніки</w:t>
            </w:r>
          </w:p>
        </w:tc>
        <w:tc>
          <w:tcPr>
            <w:tcW w:w="5528" w:type="dxa"/>
          </w:tcPr>
          <w:p w:rsidR="003D40B0" w:rsidRPr="00EA453D" w:rsidRDefault="003D40B0" w:rsidP="00FB7C53">
            <w:pPr>
              <w:jc w:val="both"/>
              <w:rPr>
                <w:rFonts w:ascii="Times New Roman" w:hAnsi="Times New Roman" w:cs="Times New Roman"/>
                <w:sz w:val="26"/>
                <w:szCs w:val="26"/>
              </w:rPr>
            </w:pPr>
            <w:r w:rsidRPr="00EA453D">
              <w:rPr>
                <w:rFonts w:ascii="Times New Roman" w:hAnsi="Times New Roman" w:cs="Times New Roman"/>
                <w:sz w:val="26"/>
                <w:szCs w:val="26"/>
              </w:rPr>
              <w:lastRenderedPageBreak/>
              <w:t xml:space="preserve">Уточнити в Порядку, як заповнювати таблицю у випадку, коли протягом звітного періоду обсяг пального вимірювався за допомогою як </w:t>
            </w:r>
            <w:r w:rsidRPr="00EA453D">
              <w:rPr>
                <w:rFonts w:ascii="Times New Roman" w:hAnsi="Times New Roman" w:cs="Times New Roman"/>
                <w:sz w:val="26"/>
                <w:szCs w:val="26"/>
              </w:rPr>
              <w:lastRenderedPageBreak/>
              <w:t>витратоміра (рівнеміра), так і інших засобів вимірювальної техніки (якщо витратомір або рівнемір протягом звітної доби вийшов з ладу, або був повернутий після ремонту).</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lastRenderedPageBreak/>
              <w:t>АТ «Концерн Галнафтогаз»</w:t>
            </w:r>
          </w:p>
        </w:tc>
        <w:tc>
          <w:tcPr>
            <w:tcW w:w="2277" w:type="dxa"/>
          </w:tcPr>
          <w:p w:rsidR="003D40B0" w:rsidRPr="00EA453D" w:rsidRDefault="003D40B0" w:rsidP="00095F43">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A81938">
        <w:trPr>
          <w:trHeight w:val="513"/>
        </w:trPr>
        <w:tc>
          <w:tcPr>
            <w:tcW w:w="15285" w:type="dxa"/>
            <w:gridSpan w:val="4"/>
          </w:tcPr>
          <w:p w:rsidR="003D40B0" w:rsidRPr="00EA453D" w:rsidRDefault="003D40B0" w:rsidP="004203DA">
            <w:pPr>
              <w:jc w:val="center"/>
              <w:rPr>
                <w:rFonts w:ascii="Times New Roman" w:hAnsi="Times New Roman" w:cs="Times New Roman"/>
                <w:b/>
                <w:sz w:val="28"/>
                <w:szCs w:val="28"/>
              </w:rPr>
            </w:pPr>
            <w:r w:rsidRPr="00EA453D">
              <w:rPr>
                <w:rFonts w:ascii="Times New Roman" w:hAnsi="Times New Roman" w:cs="Times New Roman"/>
                <w:b/>
                <w:sz w:val="28"/>
                <w:szCs w:val="28"/>
              </w:rPr>
              <w:lastRenderedPageBreak/>
              <w:t>Пропозиції та зауваження до окремих статей (пунктів) проєкту</w:t>
            </w:r>
          </w:p>
        </w:tc>
      </w:tr>
      <w:tr w:rsidR="003D40B0" w:rsidRPr="00EA453D" w:rsidTr="00A81938">
        <w:tc>
          <w:tcPr>
            <w:tcW w:w="15285" w:type="dxa"/>
            <w:gridSpan w:val="4"/>
          </w:tcPr>
          <w:p w:rsidR="003D40B0" w:rsidRPr="00EA453D" w:rsidRDefault="003D40B0" w:rsidP="001A7E5B">
            <w:pPr>
              <w:pStyle w:val="3"/>
              <w:spacing w:before="0" w:beforeAutospacing="0" w:after="0" w:afterAutospacing="0"/>
              <w:jc w:val="center"/>
              <w:outlineLvl w:val="2"/>
              <w:rPr>
                <w:rFonts w:eastAsia="Times New Roman"/>
                <w:sz w:val="26"/>
                <w:szCs w:val="26"/>
              </w:rPr>
            </w:pPr>
            <w:r w:rsidRPr="00EA453D">
              <w:rPr>
                <w:rFonts w:eastAsia="Times New Roman"/>
                <w:sz w:val="26"/>
                <w:szCs w:val="26"/>
              </w:rPr>
              <w:t xml:space="preserve">Пропозиції та зауваження до </w:t>
            </w:r>
          </w:p>
          <w:p w:rsidR="003D40B0" w:rsidRPr="00EA453D" w:rsidRDefault="003D40B0" w:rsidP="001A7E5B">
            <w:pPr>
              <w:pStyle w:val="3"/>
              <w:spacing w:before="0" w:beforeAutospacing="0" w:after="0" w:afterAutospacing="0"/>
              <w:jc w:val="center"/>
              <w:outlineLvl w:val="2"/>
              <w:rPr>
                <w:rFonts w:eastAsia="Times New Roman"/>
                <w:sz w:val="26"/>
                <w:szCs w:val="26"/>
              </w:rPr>
            </w:pPr>
            <w:r w:rsidRPr="00EA453D">
              <w:rPr>
                <w:rFonts w:eastAsia="Times New Roman"/>
                <w:sz w:val="26"/>
                <w:szCs w:val="26"/>
              </w:rPr>
              <w:t>ФОРМАТУ</w:t>
            </w:r>
          </w:p>
          <w:p w:rsidR="003D40B0" w:rsidRPr="00EA453D" w:rsidRDefault="003D40B0" w:rsidP="00536F30">
            <w:pPr>
              <w:jc w:val="center"/>
              <w:rPr>
                <w:rFonts w:ascii="Times New Roman" w:hAnsi="Times New Roman" w:cs="Times New Roman"/>
                <w:b/>
                <w:sz w:val="26"/>
                <w:szCs w:val="26"/>
              </w:rPr>
            </w:pPr>
            <w:r w:rsidRPr="00EA453D">
              <w:rPr>
                <w:rFonts w:ascii="Times New Roman" w:eastAsia="Times New Roman" w:hAnsi="Times New Roman" w:cs="Times New Roman"/>
                <w:b/>
                <w:sz w:val="26"/>
                <w:szCs w:val="26"/>
              </w:rPr>
              <w:t>даних та структури Єдиного державного реєстру витратомірів-лічильників і рівнемірів-лічильників рівня пального у резервуарі</w:t>
            </w:r>
            <w:r w:rsidRPr="00EA453D">
              <w:rPr>
                <w:rFonts w:ascii="Times New Roman" w:hAnsi="Times New Roman" w:cs="Times New Roman"/>
                <w:b/>
                <w:sz w:val="26"/>
                <w:szCs w:val="26"/>
              </w:rPr>
              <w:t xml:space="preserve"> </w:t>
            </w:r>
          </w:p>
        </w:tc>
      </w:tr>
      <w:tr w:rsidR="003D40B0" w:rsidRPr="00EA453D" w:rsidTr="00A81938">
        <w:tc>
          <w:tcPr>
            <w:tcW w:w="15285" w:type="dxa"/>
            <w:gridSpan w:val="4"/>
          </w:tcPr>
          <w:p w:rsidR="003D40B0" w:rsidRPr="00EA453D" w:rsidRDefault="003D40B0" w:rsidP="004203DA">
            <w:pPr>
              <w:jc w:val="center"/>
              <w:rPr>
                <w:rFonts w:ascii="Times New Roman" w:hAnsi="Times New Roman" w:cs="Times New Roman"/>
                <w:sz w:val="26"/>
                <w:szCs w:val="26"/>
              </w:rPr>
            </w:pPr>
            <w:r w:rsidRPr="00EA453D">
              <w:rPr>
                <w:rFonts w:ascii="Times New Roman" w:eastAsia="Times New Roman" w:hAnsi="Times New Roman" w:cs="Times New Roman"/>
                <w:sz w:val="26"/>
                <w:szCs w:val="26"/>
              </w:rPr>
              <w:t>II. Структура Реєстру</w:t>
            </w:r>
            <w:r w:rsidRPr="00EA453D">
              <w:rPr>
                <w:rFonts w:ascii="Times New Roman" w:hAnsi="Times New Roman" w:cs="Times New Roman"/>
                <w:sz w:val="26"/>
                <w:szCs w:val="26"/>
              </w:rPr>
              <w:t xml:space="preserve"> </w:t>
            </w:r>
          </w:p>
        </w:tc>
      </w:tr>
      <w:tr w:rsidR="003D40B0" w:rsidRPr="00EA453D" w:rsidTr="00A81938">
        <w:tc>
          <w:tcPr>
            <w:tcW w:w="5353" w:type="dxa"/>
          </w:tcPr>
          <w:p w:rsidR="003D40B0" w:rsidRPr="00EA453D" w:rsidRDefault="003D40B0" w:rsidP="00977322">
            <w:pPr>
              <w:pStyle w:val="a4"/>
              <w:spacing w:before="0" w:beforeAutospacing="0" w:after="0" w:afterAutospacing="0" w:line="360" w:lineRule="auto"/>
              <w:ind w:firstLine="567"/>
              <w:jc w:val="both"/>
              <w:rPr>
                <w:sz w:val="26"/>
                <w:szCs w:val="26"/>
              </w:rPr>
            </w:pPr>
            <w:r w:rsidRPr="00EA453D">
              <w:rPr>
                <w:sz w:val="26"/>
                <w:szCs w:val="26"/>
              </w:rPr>
              <w:t xml:space="preserve">2. Реєстр містить інформацію щодо: </w:t>
            </w:r>
          </w:p>
          <w:p w:rsidR="003D40B0" w:rsidRPr="00EA453D" w:rsidRDefault="003D40B0" w:rsidP="004203DA">
            <w:pPr>
              <w:jc w:val="both"/>
              <w:rPr>
                <w:rFonts w:ascii="Times New Roman" w:hAnsi="Times New Roman" w:cs="Times New Roman"/>
                <w:b/>
                <w:sz w:val="26"/>
                <w:szCs w:val="26"/>
              </w:rPr>
            </w:pPr>
          </w:p>
        </w:tc>
        <w:tc>
          <w:tcPr>
            <w:tcW w:w="5528" w:type="dxa"/>
          </w:tcPr>
          <w:p w:rsidR="003D40B0" w:rsidRPr="00EA453D" w:rsidRDefault="003D40B0" w:rsidP="00720B6D">
            <w:pPr>
              <w:pStyle w:val="a4"/>
              <w:spacing w:before="0" w:beforeAutospacing="0" w:after="0" w:afterAutospacing="0" w:line="360" w:lineRule="auto"/>
              <w:ind w:firstLine="567"/>
              <w:jc w:val="both"/>
              <w:rPr>
                <w:sz w:val="26"/>
                <w:szCs w:val="26"/>
              </w:rPr>
            </w:pPr>
            <w:r w:rsidRPr="00EA453D">
              <w:rPr>
                <w:sz w:val="26"/>
                <w:szCs w:val="26"/>
              </w:rPr>
              <w:t xml:space="preserve">2. Реєстр містить інформацію щодо: </w:t>
            </w:r>
          </w:p>
          <w:p w:rsidR="003D40B0" w:rsidRPr="00EA453D" w:rsidRDefault="003D40B0" w:rsidP="004203DA">
            <w:pPr>
              <w:jc w:val="both"/>
              <w:rPr>
                <w:rFonts w:ascii="Times New Roman" w:hAnsi="Times New Roman" w:cs="Times New Roman"/>
                <w:sz w:val="26"/>
                <w:szCs w:val="26"/>
              </w:rPr>
            </w:pPr>
          </w:p>
        </w:tc>
        <w:tc>
          <w:tcPr>
            <w:tcW w:w="2127" w:type="dxa"/>
          </w:tcPr>
          <w:p w:rsidR="003D40B0" w:rsidRPr="00EA453D" w:rsidRDefault="003D40B0" w:rsidP="004203DA">
            <w:pPr>
              <w:jc w:val="both"/>
              <w:rPr>
                <w:rFonts w:ascii="Times New Roman" w:hAnsi="Times New Roman" w:cs="Times New Roman"/>
                <w:sz w:val="26"/>
                <w:szCs w:val="26"/>
              </w:rPr>
            </w:pPr>
          </w:p>
        </w:tc>
        <w:tc>
          <w:tcPr>
            <w:tcW w:w="2277" w:type="dxa"/>
          </w:tcPr>
          <w:p w:rsidR="003D40B0" w:rsidRPr="00EA453D" w:rsidRDefault="003D40B0" w:rsidP="004203DA">
            <w:pPr>
              <w:jc w:val="both"/>
              <w:rPr>
                <w:rFonts w:ascii="Times New Roman" w:hAnsi="Times New Roman" w:cs="Times New Roman"/>
                <w:sz w:val="26"/>
                <w:szCs w:val="26"/>
              </w:rPr>
            </w:pPr>
          </w:p>
        </w:tc>
      </w:tr>
      <w:tr w:rsidR="003D40B0" w:rsidRPr="00EA453D" w:rsidTr="00A81938">
        <w:tc>
          <w:tcPr>
            <w:tcW w:w="5353" w:type="dxa"/>
          </w:tcPr>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6) рівнемірів, встановлених на резервуарах, зокрема:</w:t>
            </w:r>
          </w:p>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w:t>
            </w:r>
          </w:p>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типу події: встановлення рівноміра на резервуар/вилучення рівноміра з резервуара/опломбування рівнеміра/технічне обслуговування рівнеміра/повірка/ калібрування рівнеміра;</w:t>
            </w:r>
          </w:p>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w:t>
            </w:r>
          </w:p>
          <w:p w:rsidR="003D40B0" w:rsidRPr="00EA453D" w:rsidRDefault="003D40B0" w:rsidP="004203DA">
            <w:pPr>
              <w:jc w:val="both"/>
              <w:rPr>
                <w:rFonts w:ascii="Times New Roman" w:hAnsi="Times New Roman" w:cs="Times New Roman"/>
                <w:b/>
                <w:sz w:val="26"/>
                <w:szCs w:val="26"/>
              </w:rPr>
            </w:pPr>
          </w:p>
        </w:tc>
        <w:tc>
          <w:tcPr>
            <w:tcW w:w="5528" w:type="dxa"/>
          </w:tcPr>
          <w:p w:rsidR="003D40B0" w:rsidRPr="00EA453D" w:rsidRDefault="003D40B0" w:rsidP="00727180">
            <w:pPr>
              <w:jc w:val="both"/>
              <w:rPr>
                <w:rFonts w:ascii="Times New Roman" w:hAnsi="Times New Roman" w:cs="Times New Roman"/>
                <w:sz w:val="26"/>
                <w:szCs w:val="26"/>
              </w:rPr>
            </w:pPr>
            <w:r w:rsidRPr="00EA453D">
              <w:rPr>
                <w:rFonts w:ascii="Times New Roman" w:hAnsi="Times New Roman" w:cs="Times New Roman"/>
                <w:sz w:val="26"/>
                <w:szCs w:val="26"/>
              </w:rPr>
              <w:t>Виключити події «опломбування рівнеміра/технічне обслуговування рівнеміра/повірка/ калібрування рівнеміра», оскільки вони дублюють дані з таблиці 4 Довідки про розпорядника акцизного складу пального, акцизні склади пального, розташовані на них резервуари пального, витратоміри та рівнеміри (далі – Довідка АС)</w:t>
            </w:r>
          </w:p>
          <w:p w:rsidR="003D40B0" w:rsidRPr="00EA453D" w:rsidRDefault="003D40B0" w:rsidP="00727180">
            <w:pPr>
              <w:jc w:val="both"/>
              <w:rPr>
                <w:rFonts w:ascii="Times New Roman" w:hAnsi="Times New Roman" w:cs="Times New Roman"/>
                <w:sz w:val="26"/>
                <w:szCs w:val="26"/>
              </w:rPr>
            </w:pPr>
          </w:p>
          <w:p w:rsidR="003D40B0" w:rsidRPr="00EA453D" w:rsidRDefault="003D40B0" w:rsidP="00727180">
            <w:pPr>
              <w:jc w:val="both"/>
              <w:rPr>
                <w:rFonts w:ascii="Times New Roman" w:hAnsi="Times New Roman" w:cs="Times New Roman"/>
                <w:sz w:val="26"/>
                <w:szCs w:val="26"/>
              </w:rPr>
            </w:pPr>
            <w:r w:rsidRPr="00EA453D">
              <w:rPr>
                <w:rFonts w:ascii="Times New Roman" w:hAnsi="Times New Roman" w:cs="Times New Roman"/>
                <w:sz w:val="26"/>
                <w:szCs w:val="26"/>
              </w:rPr>
              <w:t>Внести відповідні зміни до Довідки АС</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 xml:space="preserve">Враховано </w:t>
            </w: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tc>
      </w:tr>
      <w:tr w:rsidR="003D40B0" w:rsidRPr="00EA453D" w:rsidTr="00A81938">
        <w:tc>
          <w:tcPr>
            <w:tcW w:w="5353" w:type="dxa"/>
          </w:tcPr>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7) витратомірів, установлених на акцизному складі пального на місцях відпуску пального наливом з акцизного складу, зокрема:</w:t>
            </w:r>
          </w:p>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w:t>
            </w:r>
          </w:p>
          <w:p w:rsidR="003D40B0" w:rsidRPr="00EA453D" w:rsidRDefault="003D40B0" w:rsidP="00637278">
            <w:pPr>
              <w:pStyle w:val="a4"/>
              <w:spacing w:before="0" w:beforeAutospacing="0" w:after="0" w:afterAutospacing="0"/>
              <w:ind w:firstLine="709"/>
              <w:jc w:val="both"/>
              <w:rPr>
                <w:sz w:val="26"/>
                <w:szCs w:val="26"/>
              </w:rPr>
            </w:pPr>
            <w:r w:rsidRPr="00EA453D">
              <w:rPr>
                <w:sz w:val="26"/>
                <w:szCs w:val="26"/>
              </w:rPr>
              <w:t xml:space="preserve">типу події: введення в експлуатацію витратоміра/виведення з експлуатації витратоміра/опломбування </w:t>
            </w:r>
            <w:r w:rsidRPr="00EA453D">
              <w:rPr>
                <w:sz w:val="26"/>
                <w:szCs w:val="26"/>
              </w:rPr>
              <w:lastRenderedPageBreak/>
              <w:t>витратоміра/технічне обслуговування витратоміра/ремонт витратоміра/повірка витратоміра;</w:t>
            </w:r>
          </w:p>
          <w:p w:rsidR="003D40B0" w:rsidRPr="00EA453D" w:rsidRDefault="003D40B0" w:rsidP="00A2531B">
            <w:pPr>
              <w:jc w:val="both"/>
              <w:rPr>
                <w:rFonts w:ascii="Times New Roman" w:hAnsi="Times New Roman" w:cs="Times New Roman"/>
                <w:b/>
                <w:sz w:val="26"/>
                <w:szCs w:val="26"/>
              </w:rPr>
            </w:pPr>
            <w:r w:rsidRPr="00EA453D">
              <w:rPr>
                <w:rFonts w:ascii="Times New Roman" w:hAnsi="Times New Roman" w:cs="Times New Roman"/>
                <w:sz w:val="26"/>
                <w:szCs w:val="26"/>
              </w:rPr>
              <w:t>………………………………..</w:t>
            </w:r>
          </w:p>
        </w:tc>
        <w:tc>
          <w:tcPr>
            <w:tcW w:w="5528"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lastRenderedPageBreak/>
              <w:t>Виключити події «опломбування витратоміра/технічне обслуговування витратоміра/ремонт витратоміра/повірка витратоміра», оскільки вони дублюють дані з таблиці 4 Довідки АС</w:t>
            </w: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Внести відповідні зміни до Довідки АС</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 xml:space="preserve">Враховано </w:t>
            </w: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tc>
      </w:tr>
      <w:tr w:rsidR="003D40B0" w:rsidRPr="00EA453D" w:rsidTr="00A81938">
        <w:tc>
          <w:tcPr>
            <w:tcW w:w="5353" w:type="dxa"/>
          </w:tcPr>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b/>
                <w:sz w:val="26"/>
                <w:szCs w:val="26"/>
              </w:rPr>
            </w:pPr>
            <w:r w:rsidRPr="00EA453D">
              <w:rPr>
                <w:rFonts w:ascii="Times New Roman" w:hAnsi="Times New Roman" w:cs="Times New Roman"/>
                <w:sz w:val="26"/>
                <w:szCs w:val="26"/>
              </w:rPr>
              <w:t>13) показників витратомірів, встановлених в місцях відпуску пального наливом з акцизного складу, розташованих на акцизному складі, та/або за показниками інших вимірювальних приладів на початок та на кінець звітного періоду;</w:t>
            </w:r>
          </w:p>
        </w:tc>
        <w:tc>
          <w:tcPr>
            <w:tcW w:w="5528"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Викласти пункт у такій редакції:</w:t>
            </w:r>
          </w:p>
          <w:p w:rsidR="003D40B0" w:rsidRPr="00EA453D" w:rsidRDefault="003D40B0" w:rsidP="004203DA">
            <w:pPr>
              <w:contextualSpacing/>
              <w:jc w:val="both"/>
              <w:rPr>
                <w:rFonts w:ascii="Times New Roman" w:hAnsi="Times New Roman" w:cs="Times New Roman"/>
                <w:sz w:val="26"/>
                <w:szCs w:val="26"/>
              </w:rPr>
            </w:pPr>
            <w:r w:rsidRPr="00EA453D">
              <w:rPr>
                <w:rFonts w:ascii="Times New Roman" w:hAnsi="Times New Roman" w:cs="Times New Roman"/>
                <w:sz w:val="26"/>
                <w:szCs w:val="26"/>
              </w:rPr>
              <w:t>13) обсягу пального, реалізованого з акцизного складу за показниками витратомірів, встановлених в місцях відпуску пального наливом з акцизного складу, розташованих на акцизному складі, та/або за показниками інших вимірювальних приладів</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312215">
            <w:pPr>
              <w:jc w:val="both"/>
              <w:rPr>
                <w:rFonts w:ascii="Times New Roman" w:hAnsi="Times New Roman" w:cs="Times New Roman"/>
                <w:sz w:val="26"/>
                <w:szCs w:val="26"/>
              </w:rPr>
            </w:pPr>
            <w:r w:rsidRPr="00EA453D">
              <w:rPr>
                <w:rFonts w:ascii="Times New Roman" w:hAnsi="Times New Roman" w:cs="Times New Roman"/>
                <w:sz w:val="26"/>
                <w:szCs w:val="26"/>
              </w:rPr>
              <w:t xml:space="preserve">Не враховано, оскільки в формах довідок зазначаються показники витратомірів на початок та кінець звітного періоду, на підставі яких визначається обсяг реалізованого пального </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6"/>
                <w:szCs w:val="26"/>
              </w:rPr>
            </w:pPr>
          </w:p>
          <w:p w:rsidR="003D40B0" w:rsidRPr="00EA453D" w:rsidRDefault="003D40B0" w:rsidP="00F93263">
            <w:pPr>
              <w:pStyle w:val="a4"/>
              <w:spacing w:before="0" w:beforeAutospacing="0" w:after="0" w:afterAutospacing="0"/>
              <w:ind w:firstLine="709"/>
              <w:jc w:val="both"/>
              <w:rPr>
                <w:sz w:val="26"/>
                <w:szCs w:val="26"/>
              </w:rPr>
            </w:pPr>
          </w:p>
          <w:p w:rsidR="003D40B0" w:rsidRPr="00EA453D" w:rsidRDefault="003D40B0" w:rsidP="00F93263">
            <w:pPr>
              <w:pStyle w:val="a4"/>
              <w:spacing w:before="0" w:beforeAutospacing="0" w:after="0" w:afterAutospacing="0"/>
              <w:ind w:firstLine="709"/>
              <w:jc w:val="both"/>
              <w:rPr>
                <w:sz w:val="26"/>
                <w:szCs w:val="26"/>
              </w:rPr>
            </w:pPr>
            <w:r w:rsidRPr="00EA453D">
              <w:rPr>
                <w:sz w:val="26"/>
                <w:szCs w:val="26"/>
              </w:rPr>
              <w:t>5. Довідки зберігаються безстроково.</w:t>
            </w:r>
          </w:p>
          <w:p w:rsidR="003D40B0" w:rsidRPr="00EA453D" w:rsidRDefault="003D40B0" w:rsidP="004203DA">
            <w:pPr>
              <w:jc w:val="both"/>
              <w:rPr>
                <w:rFonts w:ascii="Times New Roman" w:hAnsi="Times New Roman" w:cs="Times New Roman"/>
                <w:sz w:val="26"/>
                <w:szCs w:val="26"/>
              </w:rPr>
            </w:pPr>
          </w:p>
        </w:tc>
        <w:tc>
          <w:tcPr>
            <w:tcW w:w="5528" w:type="dxa"/>
          </w:tcPr>
          <w:p w:rsidR="003D40B0" w:rsidRPr="00EA453D" w:rsidRDefault="003D40B0" w:rsidP="0040127E">
            <w:pPr>
              <w:jc w:val="both"/>
              <w:rPr>
                <w:rFonts w:ascii="Times New Roman" w:hAnsi="Times New Roman" w:cs="Times New Roman"/>
                <w:sz w:val="26"/>
                <w:szCs w:val="26"/>
              </w:rPr>
            </w:pPr>
            <w:r w:rsidRPr="00EA453D">
              <w:rPr>
                <w:rFonts w:ascii="Times New Roman" w:hAnsi="Times New Roman" w:cs="Times New Roman"/>
                <w:sz w:val="26"/>
                <w:szCs w:val="26"/>
              </w:rPr>
              <w:t>Викласти пункт у такій редакції:</w:t>
            </w: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5. Довідки зберігаються протягом визначених законодавством термінів, але не менш як 1095 днів з дня подання</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A81938">
        <w:tc>
          <w:tcPr>
            <w:tcW w:w="15285" w:type="dxa"/>
            <w:gridSpan w:val="4"/>
          </w:tcPr>
          <w:p w:rsidR="003D40B0" w:rsidRPr="00EA453D" w:rsidRDefault="003D40B0" w:rsidP="004B4D10">
            <w:pPr>
              <w:pStyle w:val="3"/>
              <w:spacing w:before="0" w:beforeAutospacing="0" w:after="0" w:afterAutospacing="0"/>
              <w:jc w:val="center"/>
              <w:outlineLvl w:val="2"/>
              <w:rPr>
                <w:rFonts w:eastAsia="Times New Roman"/>
                <w:sz w:val="26"/>
                <w:szCs w:val="26"/>
              </w:rPr>
            </w:pPr>
            <w:r w:rsidRPr="00EA453D">
              <w:rPr>
                <w:rFonts w:eastAsia="Times New Roman"/>
                <w:sz w:val="26"/>
                <w:szCs w:val="26"/>
              </w:rPr>
              <w:t xml:space="preserve">Пропозиції та зауваження до </w:t>
            </w:r>
          </w:p>
          <w:p w:rsidR="003D40B0" w:rsidRPr="00EA453D" w:rsidRDefault="003D40B0" w:rsidP="00F14D4C">
            <w:pPr>
              <w:pStyle w:val="3"/>
              <w:spacing w:before="0" w:beforeAutospacing="0" w:after="0" w:afterAutospacing="0"/>
              <w:contextualSpacing/>
              <w:jc w:val="center"/>
              <w:outlineLvl w:val="2"/>
              <w:rPr>
                <w:rFonts w:eastAsia="Times New Roman"/>
                <w:sz w:val="26"/>
                <w:szCs w:val="26"/>
              </w:rPr>
            </w:pPr>
            <w:r w:rsidRPr="00EA453D">
              <w:rPr>
                <w:rFonts w:eastAsia="Times New Roman"/>
                <w:sz w:val="26"/>
                <w:szCs w:val="26"/>
              </w:rPr>
              <w:t>ПОРЯДКУ</w:t>
            </w:r>
          </w:p>
          <w:p w:rsidR="003D40B0" w:rsidRPr="00EA453D" w:rsidRDefault="003D40B0" w:rsidP="00F14D4C">
            <w:pPr>
              <w:jc w:val="both"/>
              <w:rPr>
                <w:rFonts w:ascii="Times New Roman" w:hAnsi="Times New Roman" w:cs="Times New Roman"/>
                <w:sz w:val="26"/>
                <w:szCs w:val="26"/>
              </w:rPr>
            </w:pPr>
            <w:r w:rsidRPr="00EA453D">
              <w:rPr>
                <w:rFonts w:ascii="Times New Roman" w:hAnsi="Times New Roman" w:cs="Times New Roman"/>
                <w:b/>
                <w:sz w:val="26"/>
                <w:szCs w:val="26"/>
              </w:rPr>
              <w:t>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w:t>
            </w:r>
          </w:p>
        </w:tc>
      </w:tr>
      <w:tr w:rsidR="003D40B0" w:rsidRPr="00EA453D" w:rsidTr="00A81938">
        <w:tc>
          <w:tcPr>
            <w:tcW w:w="15285" w:type="dxa"/>
            <w:gridSpan w:val="4"/>
          </w:tcPr>
          <w:p w:rsidR="003D40B0" w:rsidRPr="00EA453D" w:rsidRDefault="003D40B0" w:rsidP="00161254">
            <w:pPr>
              <w:jc w:val="center"/>
              <w:rPr>
                <w:rFonts w:ascii="Times New Roman" w:hAnsi="Times New Roman" w:cs="Times New Roman"/>
                <w:b/>
                <w:sz w:val="26"/>
                <w:szCs w:val="26"/>
              </w:rPr>
            </w:pPr>
            <w:r w:rsidRPr="00EA453D">
              <w:rPr>
                <w:rFonts w:ascii="Times New Roman" w:hAnsi="Times New Roman" w:cs="Times New Roman"/>
                <w:b/>
                <w:sz w:val="26"/>
                <w:szCs w:val="26"/>
              </w:rPr>
              <w:t>Загальні зауваження та пропозиції до Порядку</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6"/>
                <w:szCs w:val="26"/>
              </w:rPr>
            </w:pPr>
          </w:p>
        </w:tc>
        <w:tc>
          <w:tcPr>
            <w:tcW w:w="5528" w:type="dxa"/>
          </w:tcPr>
          <w:p w:rsidR="003D40B0" w:rsidRPr="00EA453D" w:rsidRDefault="003D40B0" w:rsidP="00046709">
            <w:pPr>
              <w:jc w:val="both"/>
              <w:rPr>
                <w:rFonts w:ascii="Times New Roman" w:hAnsi="Times New Roman" w:cs="Times New Roman"/>
                <w:sz w:val="26"/>
                <w:szCs w:val="26"/>
              </w:rPr>
            </w:pPr>
            <w:r w:rsidRPr="00EA453D">
              <w:rPr>
                <w:rFonts w:ascii="Times New Roman" w:hAnsi="Times New Roman" w:cs="Times New Roman"/>
                <w:sz w:val="26"/>
                <w:szCs w:val="26"/>
              </w:rPr>
              <w:t xml:space="preserve">Для Довідок Д та ДР уточнити, що дані заявок на поповнення обсягу залишку пального, в якій одночасно зазначаються обсяги пального, що збільшуються за певним кодом товарної підкатегорії згідно з УКТ ЗЕД, та обсяги </w:t>
            </w:r>
            <w:r w:rsidRPr="00EA453D">
              <w:rPr>
                <w:rFonts w:ascii="Times New Roman" w:hAnsi="Times New Roman" w:cs="Times New Roman"/>
                <w:sz w:val="26"/>
                <w:szCs w:val="26"/>
              </w:rPr>
              <w:lastRenderedPageBreak/>
              <w:t xml:space="preserve">пального, що зменшуються за іншим кодом товарної підкатегорії згідно з УКТ ЗЕД,  заносяться до таблиць зі знаком «+», або «-» </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lastRenderedPageBreak/>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6"/>
                <w:szCs w:val="26"/>
              </w:rPr>
            </w:pPr>
          </w:p>
        </w:tc>
        <w:tc>
          <w:tcPr>
            <w:tcW w:w="5528" w:type="dxa"/>
          </w:tcPr>
          <w:p w:rsidR="003D40B0" w:rsidRPr="00EA453D" w:rsidRDefault="003D40B0" w:rsidP="00844480">
            <w:pPr>
              <w:jc w:val="both"/>
              <w:rPr>
                <w:rFonts w:ascii="Times New Roman" w:hAnsi="Times New Roman" w:cs="Times New Roman"/>
                <w:sz w:val="26"/>
                <w:szCs w:val="26"/>
              </w:rPr>
            </w:pPr>
            <w:r w:rsidRPr="00EA453D">
              <w:rPr>
                <w:rFonts w:ascii="Times New Roman" w:hAnsi="Times New Roman" w:cs="Times New Roman"/>
                <w:sz w:val="26"/>
                <w:szCs w:val="26"/>
              </w:rPr>
              <w:t xml:space="preserve">Доповнити Розділ ІІ (щодо Довідки Д) та Розділ </w:t>
            </w:r>
            <w:r w:rsidRPr="00EA453D">
              <w:rPr>
                <w:rFonts w:ascii="Times New Roman" w:hAnsi="Times New Roman" w:cs="Times New Roman"/>
                <w:sz w:val="26"/>
                <w:szCs w:val="26"/>
                <w:lang w:val="en-US"/>
              </w:rPr>
              <w:t>V</w:t>
            </w:r>
            <w:r w:rsidRPr="00EA453D">
              <w:rPr>
                <w:rFonts w:ascii="Times New Roman" w:hAnsi="Times New Roman" w:cs="Times New Roman"/>
                <w:sz w:val="26"/>
                <w:szCs w:val="26"/>
              </w:rPr>
              <w:t xml:space="preserve"> (щодо Довідки ДР) Порядку нормою щодо не відображення в таблиці заявки на поповнення обсягу пального у випадку, коли протягом звітної доби змінено код УКТ ЗЕД частини пального, яке знаходиться в резервуарі, але код УКТ ЗЕД пального в резервуарі на початок або кінець звітної доби є однаковим</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D81169">
            <w:pPr>
              <w:jc w:val="both"/>
              <w:rPr>
                <w:rFonts w:ascii="Times New Roman" w:hAnsi="Times New Roman" w:cs="Times New Roman"/>
                <w:sz w:val="26"/>
                <w:szCs w:val="26"/>
              </w:rPr>
            </w:pPr>
            <w:r w:rsidRPr="00EA453D">
              <w:rPr>
                <w:rFonts w:ascii="Times New Roman" w:hAnsi="Times New Roman" w:cs="Times New Roman"/>
                <w:sz w:val="26"/>
                <w:szCs w:val="26"/>
              </w:rPr>
              <w:t>Не враховано.</w:t>
            </w:r>
          </w:p>
          <w:p w:rsidR="003D40B0" w:rsidRPr="00EA453D" w:rsidRDefault="003D40B0" w:rsidP="00D81169">
            <w:pPr>
              <w:jc w:val="both"/>
              <w:rPr>
                <w:rFonts w:ascii="Times New Roman" w:hAnsi="Times New Roman" w:cs="Times New Roman"/>
                <w:sz w:val="26"/>
                <w:szCs w:val="26"/>
              </w:rPr>
            </w:pPr>
            <w:r w:rsidRPr="00EA453D">
              <w:rPr>
                <w:rFonts w:ascii="Times New Roman" w:hAnsi="Times New Roman" w:cs="Times New Roman"/>
                <w:sz w:val="26"/>
                <w:szCs w:val="26"/>
              </w:rPr>
              <w:t>Не надано обґрунтування необхідності внесення такої норми.</w:t>
            </w:r>
          </w:p>
        </w:tc>
      </w:tr>
      <w:tr w:rsidR="003D40B0" w:rsidRPr="00EA453D" w:rsidTr="00A81938">
        <w:tc>
          <w:tcPr>
            <w:tcW w:w="15285" w:type="dxa"/>
            <w:gridSpan w:val="4"/>
          </w:tcPr>
          <w:p w:rsidR="003D40B0" w:rsidRPr="00EA453D" w:rsidRDefault="003D40B0" w:rsidP="00C46B9B">
            <w:pPr>
              <w:jc w:val="center"/>
              <w:rPr>
                <w:rFonts w:ascii="Times New Roman" w:hAnsi="Times New Roman" w:cs="Times New Roman"/>
                <w:b/>
                <w:sz w:val="26"/>
                <w:szCs w:val="26"/>
              </w:rPr>
            </w:pPr>
            <w:r w:rsidRPr="00EA453D">
              <w:rPr>
                <w:rFonts w:ascii="Times New Roman" w:eastAsia="Times New Roman" w:hAnsi="Times New Roman" w:cs="Times New Roman"/>
                <w:b/>
                <w:sz w:val="26"/>
                <w:szCs w:val="26"/>
              </w:rPr>
              <w:t>I. Загальні положення</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6"/>
                <w:szCs w:val="26"/>
              </w:rPr>
            </w:pPr>
            <w:r w:rsidRPr="00EA453D">
              <w:rPr>
                <w:sz w:val="28"/>
                <w:szCs w:val="28"/>
              </w:rPr>
              <w:t>5. Для коригуючих довідок, які подаються до основної довідки, до якої вже подавалась (подавались) коригуюча довідка (коригуючі довідки), у призначеному для цього рядку обов’язково зазначається реєстраційний номер попередньої коригуючої довідки, поданої для коригування основної довідки, показники якої коригуються у цій довідці.</w:t>
            </w:r>
          </w:p>
        </w:tc>
        <w:tc>
          <w:tcPr>
            <w:tcW w:w="5528" w:type="dxa"/>
          </w:tcPr>
          <w:p w:rsidR="003D40B0" w:rsidRPr="00EA453D" w:rsidRDefault="003D40B0" w:rsidP="0040127E">
            <w:pPr>
              <w:jc w:val="both"/>
              <w:rPr>
                <w:rFonts w:ascii="Times New Roman" w:hAnsi="Times New Roman" w:cs="Times New Roman"/>
                <w:sz w:val="26"/>
                <w:szCs w:val="26"/>
              </w:rPr>
            </w:pPr>
            <w:r w:rsidRPr="00EA453D">
              <w:rPr>
                <w:rFonts w:ascii="Times New Roman" w:hAnsi="Times New Roman" w:cs="Times New Roman"/>
                <w:sz w:val="26"/>
                <w:szCs w:val="26"/>
              </w:rPr>
              <w:t xml:space="preserve"> Доповнити пункт словами:</w:t>
            </w:r>
          </w:p>
          <w:p w:rsidR="003D40B0" w:rsidRPr="00EA453D" w:rsidRDefault="003D40B0" w:rsidP="0040127E">
            <w:pPr>
              <w:jc w:val="both"/>
              <w:rPr>
                <w:rFonts w:ascii="Times New Roman" w:hAnsi="Times New Roman" w:cs="Times New Roman"/>
                <w:sz w:val="26"/>
                <w:szCs w:val="26"/>
              </w:rPr>
            </w:pPr>
            <w:r w:rsidRPr="00EA453D">
              <w:rPr>
                <w:rFonts w:ascii="Times New Roman" w:hAnsi="Times New Roman" w:cs="Times New Roman"/>
                <w:sz w:val="26"/>
                <w:szCs w:val="26"/>
              </w:rPr>
              <w:t>(тобто, для коригуючої довідки з порядковим номером 2 зазначається реєстраційний номер коригуючої довідки з порядковим номером 1, і т. д.)</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Не враховано</w:t>
            </w:r>
            <w:r w:rsidR="00823E56" w:rsidRPr="00EA453D">
              <w:rPr>
                <w:rFonts w:ascii="Times New Roman" w:hAnsi="Times New Roman" w:cs="Times New Roman"/>
                <w:sz w:val="26"/>
                <w:szCs w:val="26"/>
              </w:rPr>
              <w:t>, оскільки</w:t>
            </w:r>
          </w:p>
          <w:p w:rsidR="003D40B0" w:rsidRPr="00EA453D" w:rsidRDefault="003D40B0" w:rsidP="00F37A32">
            <w:pPr>
              <w:jc w:val="both"/>
              <w:rPr>
                <w:rFonts w:ascii="Times New Roman" w:hAnsi="Times New Roman" w:cs="Times New Roman"/>
                <w:sz w:val="26"/>
                <w:szCs w:val="26"/>
              </w:rPr>
            </w:pPr>
            <w:r w:rsidRPr="00EA453D">
              <w:rPr>
                <w:rFonts w:ascii="Times New Roman" w:hAnsi="Times New Roman" w:cs="Times New Roman"/>
                <w:sz w:val="26"/>
                <w:szCs w:val="26"/>
              </w:rPr>
              <w:t xml:space="preserve">редакція пункту виключає двозначне трактування та не потребує уточнення. </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8"/>
                <w:szCs w:val="28"/>
              </w:rPr>
            </w:pPr>
          </w:p>
        </w:tc>
        <w:tc>
          <w:tcPr>
            <w:tcW w:w="5528" w:type="dxa"/>
          </w:tcPr>
          <w:p w:rsidR="003D40B0" w:rsidRPr="00AE7164" w:rsidRDefault="003D40B0" w:rsidP="0032237F">
            <w:pPr>
              <w:jc w:val="both"/>
              <w:rPr>
                <w:rFonts w:ascii="Times New Roman" w:hAnsi="Times New Roman" w:cs="Times New Roman"/>
                <w:sz w:val="26"/>
                <w:szCs w:val="26"/>
              </w:rPr>
            </w:pPr>
            <w:r w:rsidRPr="00AE7164">
              <w:rPr>
                <w:rFonts w:ascii="Times New Roman" w:hAnsi="Times New Roman" w:cs="Times New Roman"/>
                <w:sz w:val="26"/>
                <w:szCs w:val="26"/>
              </w:rPr>
              <w:t>Доповнити Порядок пунктом щодо надання в основних Довідках інформації по кожному з резервуарів, введених в експлуатацію, по кожному зареєстрованому витратоміру та рівнеміру – незалежно від того, чи здійснювались отримання та/або реалізація пального протягом звітного періоду (звітної доби або звітного місяця).</w:t>
            </w:r>
          </w:p>
        </w:tc>
        <w:tc>
          <w:tcPr>
            <w:tcW w:w="2127" w:type="dxa"/>
          </w:tcPr>
          <w:p w:rsidR="003D40B0" w:rsidRPr="00EA453D" w:rsidRDefault="003D40B0" w:rsidP="006B5579">
            <w:pPr>
              <w:jc w:val="both"/>
              <w:rPr>
                <w:rFonts w:ascii="Times New Roman" w:hAnsi="Times New Roman" w:cs="Times New Roman"/>
                <w:sz w:val="26"/>
                <w:szCs w:val="26"/>
              </w:rPr>
            </w:pPr>
            <w:r w:rsidRPr="00EA453D">
              <w:rPr>
                <w:rFonts w:ascii="Times New Roman" w:hAnsi="Times New Roman" w:cs="Times New Roman"/>
                <w:sz w:val="26"/>
                <w:szCs w:val="26"/>
              </w:rPr>
              <w:t>Сергій Карпенко</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6"/>
                <w:szCs w:val="26"/>
              </w:rPr>
            </w:pPr>
          </w:p>
          <w:p w:rsidR="003D40B0" w:rsidRPr="00EA453D" w:rsidRDefault="003D40B0" w:rsidP="00F93263">
            <w:pPr>
              <w:pStyle w:val="a4"/>
              <w:spacing w:before="0" w:beforeAutospacing="0" w:after="0" w:afterAutospacing="0"/>
              <w:ind w:firstLine="709"/>
              <w:jc w:val="both"/>
              <w:rPr>
                <w:sz w:val="26"/>
                <w:szCs w:val="26"/>
              </w:rPr>
            </w:pPr>
            <w:r w:rsidRPr="00EA453D">
              <w:rPr>
                <w:sz w:val="26"/>
                <w:szCs w:val="26"/>
              </w:rPr>
              <w:t>14. Під час виходу з ладу, проведення повірки або калібрування рівнеміра або витратоміра визначення даних про обсяги залишків пального та обсяги реалізованого пального здійснюється у мірах повної місткості, які мають позитивний результат повірки, проведеної відповідно до законодавства, та/або за допомогою рулетки та метроштока або переносного (портативного) рівнеміра-аналізатора, які мають позитивний результат повірки, проведеної відповідно до законодавства. Застосування такого способу вимірювання може здійснюватися не більше 20 календарних днів поспіль (для акцизних складів, які є місцями роздрібної торгівлі пальним, на які отримано ліцензії на право роздрібної торгівлі пальним, – не більше 15 календарних днів поспіль) та не більше чотирьох разів протягом календарного року.</w:t>
            </w:r>
          </w:p>
        </w:tc>
        <w:tc>
          <w:tcPr>
            <w:tcW w:w="5528" w:type="dxa"/>
          </w:tcPr>
          <w:p w:rsidR="003D40B0" w:rsidRPr="00AE7164" w:rsidRDefault="003D40B0" w:rsidP="0040127E">
            <w:pPr>
              <w:jc w:val="both"/>
              <w:rPr>
                <w:rFonts w:ascii="Times New Roman" w:hAnsi="Times New Roman" w:cs="Times New Roman"/>
                <w:sz w:val="26"/>
                <w:szCs w:val="26"/>
              </w:rPr>
            </w:pPr>
            <w:r w:rsidRPr="00AE7164">
              <w:rPr>
                <w:rFonts w:ascii="Times New Roman" w:hAnsi="Times New Roman" w:cs="Times New Roman"/>
                <w:sz w:val="26"/>
                <w:szCs w:val="26"/>
              </w:rPr>
              <w:t xml:space="preserve"> Викласти пункт у такій редакції:</w:t>
            </w:r>
          </w:p>
          <w:p w:rsidR="003D40B0" w:rsidRPr="00AE7164" w:rsidRDefault="003D40B0" w:rsidP="0040127E">
            <w:pPr>
              <w:jc w:val="both"/>
              <w:rPr>
                <w:rFonts w:ascii="Times New Roman" w:hAnsi="Times New Roman" w:cs="Times New Roman"/>
                <w:sz w:val="26"/>
                <w:szCs w:val="26"/>
              </w:rPr>
            </w:pPr>
            <w:r w:rsidRPr="00AE7164">
              <w:rPr>
                <w:rFonts w:ascii="Times New Roman" w:hAnsi="Times New Roman" w:cs="Times New Roman"/>
                <w:sz w:val="26"/>
                <w:szCs w:val="26"/>
              </w:rPr>
              <w:t>14. Під час виходу з ладу, проведення повірки або калібрування рівнеміра визначення даних про обсяги залишків пального здійснюється в резервуарах, які мають позитивний результат повірки, проведеної відповідно до законодавства, за допомогою рулетки або метроштока або переносного (портативного) рівнеміра-аналізатора, які мають позитивний результат повірки, проведеної відповідно до законодавства. Під час виходу з ладу, проведення повірки витратоміра, визначення даних про обсяги реалізованого пального здійснюється у мірах повної місткості. Застосування такого способу вимірювання може здійснюватися не більше 20 календарних днів поспіль (для акцизних складів, які є місцями роздрібної торгівлі пальним, на які отримано ліцензії на право роздрібної торгівлі пальним, – не більше 15 календарних днів поспіль) та не більше чотирьох разів протягом календарного року.</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tc>
      </w:tr>
      <w:tr w:rsidR="003D40B0" w:rsidRPr="00EA453D" w:rsidTr="005B1CA4">
        <w:tc>
          <w:tcPr>
            <w:tcW w:w="15285" w:type="dxa"/>
            <w:gridSpan w:val="4"/>
          </w:tcPr>
          <w:p w:rsidR="003D40B0" w:rsidRPr="00EA453D" w:rsidRDefault="003D40B0" w:rsidP="002C03BB">
            <w:pPr>
              <w:jc w:val="center"/>
              <w:rPr>
                <w:rFonts w:ascii="Times New Roman" w:hAnsi="Times New Roman" w:cs="Times New Roman"/>
                <w:sz w:val="26"/>
                <w:szCs w:val="26"/>
              </w:rPr>
            </w:pPr>
            <w:r w:rsidRPr="00EA453D">
              <w:rPr>
                <w:rFonts w:ascii="Times New Roman" w:hAnsi="Times New Roman" w:cs="Times New Roman"/>
                <w:b/>
                <w:bCs/>
                <w:sz w:val="26"/>
                <w:szCs w:val="26"/>
              </w:rPr>
              <w:t>І</w:t>
            </w:r>
            <w:r w:rsidRPr="00EA453D">
              <w:rPr>
                <w:rFonts w:ascii="Times New Roman" w:eastAsia="Times New Roman" w:hAnsi="Times New Roman" w:cs="Times New Roman"/>
                <w:b/>
                <w:sz w:val="26"/>
                <w:szCs w:val="26"/>
              </w:rPr>
              <w:t xml:space="preserve">IІ. Довідка </w:t>
            </w:r>
            <w:r w:rsidRPr="00EA453D">
              <w:rPr>
                <w:rFonts w:ascii="Times New Roman" w:hAnsi="Times New Roman" w:cs="Times New Roman"/>
                <w:b/>
                <w:sz w:val="26"/>
                <w:szCs w:val="26"/>
              </w:rPr>
              <w:t>виробника про фактичні залишки пального на початок та кінець звітної доби та про добові фактичні обсяги отриманого та реалізованого пального</w:t>
            </w:r>
          </w:p>
        </w:tc>
      </w:tr>
      <w:tr w:rsidR="003D40B0" w:rsidRPr="00EA453D" w:rsidTr="00A81938">
        <w:tc>
          <w:tcPr>
            <w:tcW w:w="5353" w:type="dxa"/>
          </w:tcPr>
          <w:p w:rsidR="003D40B0" w:rsidRPr="00EA453D" w:rsidRDefault="003D40B0" w:rsidP="00F93263">
            <w:pPr>
              <w:pStyle w:val="a4"/>
              <w:spacing w:before="0" w:beforeAutospacing="0" w:after="0" w:afterAutospacing="0"/>
              <w:ind w:firstLine="709"/>
              <w:jc w:val="both"/>
              <w:rPr>
                <w:sz w:val="28"/>
                <w:szCs w:val="28"/>
              </w:rPr>
            </w:pPr>
          </w:p>
        </w:tc>
        <w:tc>
          <w:tcPr>
            <w:tcW w:w="5528" w:type="dxa"/>
          </w:tcPr>
          <w:p w:rsidR="003D40B0" w:rsidRPr="00EA453D" w:rsidRDefault="003D40B0" w:rsidP="008D3F8A">
            <w:pPr>
              <w:jc w:val="both"/>
              <w:rPr>
                <w:rFonts w:ascii="Times New Roman" w:hAnsi="Times New Roman" w:cs="Times New Roman"/>
                <w:noProof/>
                <w:sz w:val="26"/>
                <w:szCs w:val="26"/>
              </w:rPr>
            </w:pPr>
            <w:r w:rsidRPr="00EA453D">
              <w:rPr>
                <w:rFonts w:ascii="Times New Roman" w:hAnsi="Times New Roman" w:cs="Times New Roman"/>
                <w:noProof/>
                <w:sz w:val="26"/>
                <w:szCs w:val="26"/>
              </w:rPr>
              <w:t>Доцільно обсяг виробленого пального (графа 9.6 «</w:t>
            </w:r>
            <w:r w:rsidRPr="00EA453D">
              <w:rPr>
                <w:rFonts w:ascii="Times New Roman" w:hAnsi="Times New Roman" w:cs="Times New Roman"/>
                <w:bCs/>
                <w:sz w:val="26"/>
                <w:szCs w:val="26"/>
              </w:rPr>
              <w:t>Добовий обсяг виробленого на акцизному складі пального»</w:t>
            </w:r>
            <w:r w:rsidRPr="00EA453D">
              <w:rPr>
                <w:rFonts w:ascii="Times New Roman" w:hAnsi="Times New Roman" w:cs="Times New Roman"/>
                <w:noProof/>
                <w:sz w:val="26"/>
                <w:szCs w:val="26"/>
              </w:rPr>
              <w:t xml:space="preserve"> </w:t>
            </w:r>
            <w:r w:rsidRPr="00EA453D">
              <w:rPr>
                <w:rFonts w:ascii="Times New Roman" w:hAnsi="Times New Roman" w:cs="Times New Roman"/>
                <w:bCs/>
                <w:sz w:val="26"/>
                <w:szCs w:val="26"/>
              </w:rPr>
              <w:t>Зведеної таблиці Довідки ДВ)</w:t>
            </w:r>
            <w:r w:rsidRPr="00EA453D">
              <w:rPr>
                <w:rFonts w:ascii="Times New Roman" w:hAnsi="Times New Roman" w:cs="Times New Roman"/>
                <w:b/>
                <w:bCs/>
                <w:sz w:val="26"/>
                <w:szCs w:val="26"/>
              </w:rPr>
              <w:t xml:space="preserve"> </w:t>
            </w:r>
            <w:r w:rsidRPr="00EA453D">
              <w:rPr>
                <w:rFonts w:ascii="Times New Roman" w:hAnsi="Times New Roman" w:cs="Times New Roman"/>
                <w:noProof/>
                <w:sz w:val="26"/>
                <w:szCs w:val="26"/>
              </w:rPr>
              <w:t xml:space="preserve">визначати не за формулою, а </w:t>
            </w:r>
            <w:r w:rsidRPr="00EA453D">
              <w:rPr>
                <w:rFonts w:ascii="Times New Roman" w:hAnsi="Times New Roman" w:cs="Times New Roman"/>
                <w:sz w:val="26"/>
                <w:szCs w:val="26"/>
              </w:rPr>
              <w:t>на підставі первинних бухгалтерських документів</w:t>
            </w:r>
            <w:r w:rsidRPr="00EA453D">
              <w:rPr>
                <w:rFonts w:ascii="Times New Roman" w:hAnsi="Times New Roman" w:cs="Times New Roman"/>
                <w:noProof/>
                <w:sz w:val="26"/>
                <w:szCs w:val="26"/>
              </w:rPr>
              <w:t>.</w:t>
            </w:r>
          </w:p>
          <w:p w:rsidR="003D40B0" w:rsidRPr="00EA453D" w:rsidRDefault="003D40B0" w:rsidP="008D3F8A">
            <w:pPr>
              <w:jc w:val="both"/>
              <w:rPr>
                <w:rFonts w:ascii="Times New Roman" w:hAnsi="Times New Roman" w:cs="Times New Roman"/>
                <w:sz w:val="26"/>
                <w:szCs w:val="26"/>
              </w:rPr>
            </w:pPr>
            <w:r w:rsidRPr="00EA453D">
              <w:rPr>
                <w:rFonts w:ascii="Times New Roman" w:hAnsi="Times New Roman" w:cs="Times New Roman"/>
                <w:noProof/>
                <w:sz w:val="26"/>
                <w:szCs w:val="26"/>
              </w:rPr>
              <w:t>Внести відповідні зміни до Довідки ДВ</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p>
          <w:p w:rsidR="003D40B0" w:rsidRPr="00EA453D" w:rsidRDefault="003D40B0" w:rsidP="004203DA">
            <w:pPr>
              <w:jc w:val="both"/>
              <w:rPr>
                <w:rFonts w:ascii="Times New Roman" w:hAnsi="Times New Roman" w:cs="Times New Roman"/>
                <w:sz w:val="26"/>
                <w:szCs w:val="26"/>
              </w:rPr>
            </w:pPr>
            <w:bookmarkStart w:id="0" w:name="_GoBack"/>
            <w:bookmarkEnd w:id="0"/>
          </w:p>
        </w:tc>
      </w:tr>
      <w:tr w:rsidR="003D40B0" w:rsidRPr="00EA453D" w:rsidTr="00A81938">
        <w:tc>
          <w:tcPr>
            <w:tcW w:w="15285" w:type="dxa"/>
            <w:gridSpan w:val="4"/>
          </w:tcPr>
          <w:p w:rsidR="003D40B0" w:rsidRPr="00EA453D" w:rsidRDefault="003D40B0" w:rsidP="008D6B17">
            <w:pPr>
              <w:pStyle w:val="a4"/>
              <w:spacing w:before="0" w:beforeAutospacing="0" w:after="0" w:afterAutospacing="0"/>
              <w:jc w:val="center"/>
              <w:rPr>
                <w:b/>
                <w:sz w:val="28"/>
                <w:szCs w:val="28"/>
              </w:rPr>
            </w:pPr>
            <w:r w:rsidRPr="00EA453D">
              <w:rPr>
                <w:b/>
                <w:sz w:val="28"/>
                <w:szCs w:val="28"/>
              </w:rPr>
              <w:lastRenderedPageBreak/>
              <w:t>ІV. 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r w:rsidR="0090127C" w:rsidRPr="00EA453D">
              <w:rPr>
                <w:b/>
                <w:sz w:val="28"/>
                <w:szCs w:val="28"/>
              </w:rPr>
              <w:t xml:space="preserve"> (далі – </w:t>
            </w:r>
            <w:r w:rsidR="005F7E8D" w:rsidRPr="00EA453D">
              <w:rPr>
                <w:b/>
                <w:sz w:val="28"/>
                <w:szCs w:val="28"/>
              </w:rPr>
              <w:t>Д</w:t>
            </w:r>
            <w:r w:rsidR="0090127C" w:rsidRPr="00EA453D">
              <w:rPr>
                <w:b/>
                <w:sz w:val="28"/>
                <w:szCs w:val="28"/>
              </w:rPr>
              <w:t>овідка ДВМ)</w:t>
            </w:r>
          </w:p>
          <w:p w:rsidR="003D40B0" w:rsidRPr="00EA453D" w:rsidRDefault="003D40B0" w:rsidP="004203DA">
            <w:pPr>
              <w:jc w:val="both"/>
              <w:rPr>
                <w:rFonts w:ascii="Times New Roman" w:hAnsi="Times New Roman" w:cs="Times New Roman"/>
                <w:sz w:val="26"/>
                <w:szCs w:val="26"/>
              </w:rPr>
            </w:pPr>
          </w:p>
        </w:tc>
      </w:tr>
      <w:tr w:rsidR="003D40B0" w:rsidRPr="00EA453D" w:rsidTr="002E579F">
        <w:tc>
          <w:tcPr>
            <w:tcW w:w="5353" w:type="dxa"/>
          </w:tcPr>
          <w:p w:rsidR="003D40B0" w:rsidRPr="00EA453D" w:rsidRDefault="003D40B0" w:rsidP="005F7E8D">
            <w:pPr>
              <w:pStyle w:val="a4"/>
              <w:spacing w:before="0" w:beforeAutospacing="0" w:after="0" w:afterAutospacing="0"/>
              <w:ind w:firstLine="709"/>
              <w:jc w:val="both"/>
              <w:rPr>
                <w:sz w:val="26"/>
                <w:szCs w:val="26"/>
                <w:lang w:val="ru-RU"/>
              </w:rPr>
            </w:pPr>
            <w:r w:rsidRPr="00EA453D">
              <w:rPr>
                <w:sz w:val="26"/>
                <w:szCs w:val="26"/>
              </w:rPr>
              <w:t>В п. 1 зазначено, які суб</w:t>
            </w:r>
            <w:r w:rsidRPr="00EA453D">
              <w:rPr>
                <w:sz w:val="26"/>
                <w:szCs w:val="26"/>
                <w:lang w:val="ru-RU"/>
              </w:rPr>
              <w:t>’</w:t>
            </w:r>
            <w:r w:rsidRPr="00EA453D">
              <w:rPr>
                <w:sz w:val="26"/>
                <w:szCs w:val="26"/>
              </w:rPr>
              <w:t>єкти господарювання повинні подавати Довідку ДВМ</w:t>
            </w:r>
          </w:p>
        </w:tc>
        <w:tc>
          <w:tcPr>
            <w:tcW w:w="5528" w:type="dxa"/>
          </w:tcPr>
          <w:p w:rsidR="003D40B0" w:rsidRPr="00EA453D" w:rsidRDefault="003D40B0" w:rsidP="0040127E">
            <w:pPr>
              <w:jc w:val="both"/>
              <w:rPr>
                <w:rFonts w:ascii="Times New Roman" w:hAnsi="Times New Roman" w:cs="Times New Roman"/>
                <w:sz w:val="26"/>
                <w:szCs w:val="26"/>
                <w:lang w:val="ru-RU"/>
              </w:rPr>
            </w:pPr>
            <w:r w:rsidRPr="00EA453D">
              <w:rPr>
                <w:rFonts w:ascii="Times New Roman" w:hAnsi="Times New Roman" w:cs="Times New Roman"/>
                <w:sz w:val="26"/>
                <w:szCs w:val="26"/>
                <w:lang w:val="ru-RU"/>
              </w:rPr>
              <w:t>Запропоновано детальніше розписати, хто повинен подавати Довідку ДВМ</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Не враховано.</w:t>
            </w:r>
          </w:p>
          <w:p w:rsidR="003D40B0" w:rsidRPr="00EA453D" w:rsidRDefault="003D40B0" w:rsidP="00DB2A09">
            <w:pPr>
              <w:jc w:val="both"/>
              <w:rPr>
                <w:rFonts w:ascii="Times New Roman" w:hAnsi="Times New Roman" w:cs="Times New Roman"/>
                <w:sz w:val="26"/>
                <w:szCs w:val="26"/>
              </w:rPr>
            </w:pPr>
            <w:r w:rsidRPr="00EA453D">
              <w:rPr>
                <w:rFonts w:ascii="Times New Roman" w:hAnsi="Times New Roman" w:cs="Times New Roman"/>
                <w:sz w:val="26"/>
                <w:szCs w:val="26"/>
              </w:rPr>
              <w:t>Редакція п.  1 Розділу ІV Порядку (щодо суб’єктів господарювання, які повинні подавати Довідку ДВМ) аналогічна редакції п. 1 Розділу ІІІ Порядку (щодо суб’єктів  господарювання, які повинні подавати Довідку ДВ), яка не викликала запитань щодо кола СГ, які повинні подавати цю довідку.</w:t>
            </w:r>
          </w:p>
        </w:tc>
      </w:tr>
      <w:tr w:rsidR="003D40B0" w:rsidRPr="00EA453D" w:rsidTr="002E579F">
        <w:tc>
          <w:tcPr>
            <w:tcW w:w="5353" w:type="dxa"/>
          </w:tcPr>
          <w:p w:rsidR="003D40B0" w:rsidRPr="00EA453D" w:rsidRDefault="003D40B0" w:rsidP="00B62C15">
            <w:pPr>
              <w:pStyle w:val="a4"/>
              <w:spacing w:before="0" w:beforeAutospacing="0" w:after="0" w:afterAutospacing="0"/>
              <w:ind w:firstLine="709"/>
              <w:jc w:val="both"/>
              <w:rPr>
                <w:sz w:val="26"/>
                <w:szCs w:val="26"/>
              </w:rPr>
            </w:pPr>
            <w:r w:rsidRPr="00EA453D">
              <w:rPr>
                <w:sz w:val="26"/>
                <w:szCs w:val="26"/>
              </w:rPr>
              <w:t>4. …………………………..</w:t>
            </w:r>
          </w:p>
          <w:p w:rsidR="003D40B0" w:rsidRPr="00EA453D" w:rsidRDefault="003D40B0" w:rsidP="00D84218">
            <w:pPr>
              <w:pStyle w:val="a4"/>
              <w:spacing w:before="0" w:beforeAutospacing="0" w:after="0" w:afterAutospacing="0"/>
              <w:ind w:firstLine="709"/>
              <w:jc w:val="both"/>
              <w:rPr>
                <w:sz w:val="26"/>
                <w:szCs w:val="26"/>
              </w:rPr>
            </w:pPr>
            <w:r w:rsidRPr="00EA453D">
              <w:rPr>
                <w:sz w:val="26"/>
                <w:szCs w:val="26"/>
              </w:rPr>
              <w:t>У</w:t>
            </w:r>
            <w:r w:rsidRPr="00EA453D">
              <w:rPr>
                <w:bCs/>
                <w:sz w:val="26"/>
                <w:szCs w:val="26"/>
              </w:rPr>
              <w:t xml:space="preserve"> Т</w:t>
            </w:r>
            <w:r w:rsidRPr="00EA453D">
              <w:rPr>
                <w:sz w:val="26"/>
                <w:szCs w:val="26"/>
              </w:rPr>
              <w:t>аблиці о</w:t>
            </w:r>
            <w:r w:rsidRPr="00EA453D">
              <w:rPr>
                <w:bCs/>
                <w:sz w:val="26"/>
                <w:szCs w:val="26"/>
              </w:rPr>
              <w:t xml:space="preserve">бсяг </w:t>
            </w:r>
            <w:r w:rsidRPr="00EA453D">
              <w:rPr>
                <w:sz w:val="26"/>
                <w:szCs w:val="26"/>
              </w:rPr>
              <w:t>товарів, які використовуються як сировина при виробництві пального,</w:t>
            </w:r>
            <w:r w:rsidRPr="00EA453D">
              <w:rPr>
                <w:bCs/>
                <w:sz w:val="26"/>
                <w:szCs w:val="26"/>
              </w:rPr>
              <w:t xml:space="preserve"> зазначається у літрах</w:t>
            </w:r>
          </w:p>
        </w:tc>
        <w:tc>
          <w:tcPr>
            <w:tcW w:w="5528" w:type="dxa"/>
          </w:tcPr>
          <w:p w:rsidR="003D40B0" w:rsidRPr="00EA453D" w:rsidRDefault="003D40B0" w:rsidP="00427DB1">
            <w:pPr>
              <w:jc w:val="both"/>
              <w:rPr>
                <w:rFonts w:ascii="Times New Roman" w:hAnsi="Times New Roman" w:cs="Times New Roman"/>
                <w:sz w:val="26"/>
                <w:szCs w:val="26"/>
              </w:rPr>
            </w:pPr>
            <w:r w:rsidRPr="00EA453D">
              <w:rPr>
                <w:rFonts w:ascii="Times New Roman" w:hAnsi="Times New Roman" w:cs="Times New Roman"/>
                <w:noProof/>
                <w:sz w:val="26"/>
                <w:szCs w:val="26"/>
              </w:rPr>
              <w:t xml:space="preserve">Запропоновано </w:t>
            </w:r>
            <w:r w:rsidR="00CF1D00" w:rsidRPr="00EA453D">
              <w:rPr>
                <w:rFonts w:ascii="Times New Roman" w:hAnsi="Times New Roman" w:cs="Times New Roman"/>
                <w:noProof/>
                <w:sz w:val="26"/>
                <w:szCs w:val="26"/>
              </w:rPr>
              <w:t>врахувати</w:t>
            </w:r>
            <w:r w:rsidR="00427DB1" w:rsidRPr="00EA453D">
              <w:rPr>
                <w:rFonts w:ascii="Times New Roman" w:hAnsi="Times New Roman" w:cs="Times New Roman"/>
                <w:noProof/>
                <w:sz w:val="26"/>
                <w:szCs w:val="26"/>
              </w:rPr>
              <w:t>, в яких о</w:t>
            </w:r>
            <w:r w:rsidRPr="00EA453D">
              <w:rPr>
                <w:rFonts w:ascii="Times New Roman" w:hAnsi="Times New Roman" w:cs="Times New Roman"/>
                <w:noProof/>
                <w:sz w:val="26"/>
                <w:szCs w:val="26"/>
              </w:rPr>
              <w:t>диниц</w:t>
            </w:r>
            <w:r w:rsidR="00427DB1" w:rsidRPr="00EA453D">
              <w:rPr>
                <w:rFonts w:ascii="Times New Roman" w:hAnsi="Times New Roman" w:cs="Times New Roman"/>
                <w:noProof/>
                <w:sz w:val="26"/>
                <w:szCs w:val="26"/>
              </w:rPr>
              <w:t>ях</w:t>
            </w:r>
            <w:r w:rsidRPr="00EA453D">
              <w:rPr>
                <w:rFonts w:ascii="Times New Roman" w:hAnsi="Times New Roman" w:cs="Times New Roman"/>
                <w:noProof/>
                <w:sz w:val="26"/>
                <w:szCs w:val="26"/>
              </w:rPr>
              <w:t xml:space="preserve"> </w:t>
            </w:r>
            <w:r w:rsidR="00427DB1" w:rsidRPr="00EA453D">
              <w:rPr>
                <w:rFonts w:ascii="Times New Roman" w:hAnsi="Times New Roman" w:cs="Times New Roman"/>
                <w:noProof/>
                <w:sz w:val="26"/>
                <w:szCs w:val="26"/>
              </w:rPr>
              <w:t xml:space="preserve">виміру виробниками ведеться </w:t>
            </w:r>
            <w:r w:rsidRPr="00EA453D">
              <w:rPr>
                <w:rFonts w:ascii="Times New Roman" w:hAnsi="Times New Roman" w:cs="Times New Roman"/>
                <w:noProof/>
                <w:sz w:val="26"/>
                <w:szCs w:val="26"/>
              </w:rPr>
              <w:t>облік товарних запасів.</w:t>
            </w:r>
          </w:p>
        </w:tc>
        <w:tc>
          <w:tcPr>
            <w:tcW w:w="2127" w:type="dxa"/>
          </w:tcPr>
          <w:p w:rsidR="003D40B0" w:rsidRPr="00EA453D" w:rsidRDefault="003D40B0" w:rsidP="006925F6">
            <w:pPr>
              <w:jc w:val="center"/>
              <w:rPr>
                <w:rFonts w:ascii="Times New Roman" w:hAnsi="Times New Roman" w:cs="Times New Roman"/>
                <w:sz w:val="26"/>
                <w:szCs w:val="26"/>
              </w:rPr>
            </w:pPr>
            <w:r w:rsidRPr="00EA453D">
              <w:rPr>
                <w:rFonts w:ascii="Times New Roman" w:hAnsi="Times New Roman" w:cs="Times New Roman"/>
                <w:sz w:val="26"/>
                <w:szCs w:val="26"/>
                <w:lang w:eastAsia="ru-RU"/>
              </w:rPr>
              <w:t>АТ «Концерн Галнафтогаз»</w:t>
            </w:r>
          </w:p>
        </w:tc>
        <w:tc>
          <w:tcPr>
            <w:tcW w:w="2277" w:type="dxa"/>
          </w:tcPr>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Враховано:</w:t>
            </w:r>
          </w:p>
          <w:p w:rsidR="003D40B0" w:rsidRPr="00EA453D" w:rsidRDefault="003D40B0" w:rsidP="004203DA">
            <w:pPr>
              <w:jc w:val="both"/>
              <w:rPr>
                <w:rFonts w:ascii="Times New Roman" w:hAnsi="Times New Roman" w:cs="Times New Roman"/>
                <w:sz w:val="26"/>
                <w:szCs w:val="26"/>
              </w:rPr>
            </w:pPr>
            <w:r w:rsidRPr="00EA453D">
              <w:rPr>
                <w:rFonts w:ascii="Times New Roman" w:hAnsi="Times New Roman" w:cs="Times New Roman"/>
                <w:sz w:val="26"/>
                <w:szCs w:val="26"/>
              </w:rPr>
              <w:t>Таблицю доповнено графою «Одиниця виміру»;</w:t>
            </w:r>
          </w:p>
          <w:p w:rsidR="003D40B0" w:rsidRPr="00EA453D" w:rsidRDefault="003D40B0" w:rsidP="000223DE">
            <w:pPr>
              <w:jc w:val="both"/>
              <w:rPr>
                <w:rFonts w:ascii="Times New Roman" w:hAnsi="Times New Roman" w:cs="Times New Roman"/>
                <w:sz w:val="26"/>
                <w:szCs w:val="26"/>
              </w:rPr>
            </w:pPr>
            <w:r w:rsidRPr="00EA453D">
              <w:rPr>
                <w:rFonts w:ascii="Times New Roman" w:hAnsi="Times New Roman" w:cs="Times New Roman"/>
                <w:sz w:val="26"/>
                <w:szCs w:val="26"/>
              </w:rPr>
              <w:t xml:space="preserve">Порядок </w:t>
            </w:r>
            <w:r w:rsidRPr="00EA453D">
              <w:rPr>
                <w:rFonts w:ascii="Times New Roman" w:hAnsi="Times New Roman" w:cs="Times New Roman"/>
                <w:sz w:val="26"/>
                <w:szCs w:val="26"/>
              </w:rPr>
              <w:lastRenderedPageBreak/>
              <w:t>доповнено підпунктом, згідно з яким у цій графі зазначається одиниця виміру (кілограми, метри кубічні, літри), в якій надаються дані щодо обсягу товарів, які використовуються як сировина при виробництві пального.</w:t>
            </w:r>
          </w:p>
        </w:tc>
      </w:tr>
    </w:tbl>
    <w:p w:rsidR="009A63BB" w:rsidRPr="00EA453D" w:rsidRDefault="009A63BB">
      <w:pPr>
        <w:rPr>
          <w:rFonts w:ascii="Times New Roman" w:hAnsi="Times New Roman" w:cs="Times New Roman"/>
          <w:sz w:val="26"/>
          <w:szCs w:val="26"/>
        </w:rPr>
      </w:pPr>
    </w:p>
    <w:p w:rsidR="00E8367F" w:rsidRPr="00EA453D" w:rsidRDefault="00E8367F" w:rsidP="00E8367F">
      <w:pPr>
        <w:spacing w:line="240" w:lineRule="auto"/>
        <w:contextualSpacing/>
        <w:rPr>
          <w:rFonts w:ascii="Times New Roman" w:hAnsi="Times New Roman" w:cs="Times New Roman"/>
          <w:sz w:val="26"/>
          <w:szCs w:val="26"/>
        </w:rPr>
      </w:pPr>
      <w:r w:rsidRPr="00EA453D">
        <w:rPr>
          <w:rFonts w:ascii="Times New Roman" w:hAnsi="Times New Roman" w:cs="Times New Roman"/>
          <w:sz w:val="26"/>
          <w:szCs w:val="26"/>
        </w:rPr>
        <w:t xml:space="preserve">В. о директора Департаменту контролю за </w:t>
      </w:r>
    </w:p>
    <w:p w:rsidR="00E8367F" w:rsidRPr="00A81938" w:rsidRDefault="00E8367F" w:rsidP="00E8367F">
      <w:pPr>
        <w:spacing w:line="240" w:lineRule="auto"/>
        <w:contextualSpacing/>
        <w:rPr>
          <w:rFonts w:ascii="Times New Roman" w:hAnsi="Times New Roman" w:cs="Times New Roman"/>
          <w:sz w:val="26"/>
          <w:szCs w:val="26"/>
        </w:rPr>
      </w:pPr>
      <w:r w:rsidRPr="00EA453D">
        <w:rPr>
          <w:rFonts w:ascii="Times New Roman" w:hAnsi="Times New Roman" w:cs="Times New Roman"/>
          <w:sz w:val="26"/>
          <w:szCs w:val="26"/>
        </w:rPr>
        <w:t>підакцизними товарами</w:t>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r>
      <w:r w:rsidRPr="00EA453D">
        <w:rPr>
          <w:rFonts w:ascii="Times New Roman" w:hAnsi="Times New Roman" w:cs="Times New Roman"/>
          <w:sz w:val="26"/>
          <w:szCs w:val="26"/>
        </w:rPr>
        <w:tab/>
        <w:t xml:space="preserve">        Ігор СІНГАЄВСЬКИЙ</w:t>
      </w:r>
    </w:p>
    <w:sectPr w:rsidR="00E8367F" w:rsidRPr="00A81938" w:rsidSect="00A104BF">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01" w:rsidRDefault="00C53601" w:rsidP="00A104BF">
      <w:pPr>
        <w:spacing w:after="0" w:line="240" w:lineRule="auto"/>
      </w:pPr>
      <w:r>
        <w:separator/>
      </w:r>
    </w:p>
  </w:endnote>
  <w:endnote w:type="continuationSeparator" w:id="0">
    <w:p w:rsidR="00C53601" w:rsidRDefault="00C53601" w:rsidP="00A1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01" w:rsidRDefault="00C53601" w:rsidP="00A104BF">
      <w:pPr>
        <w:spacing w:after="0" w:line="240" w:lineRule="auto"/>
      </w:pPr>
      <w:r>
        <w:separator/>
      </w:r>
    </w:p>
  </w:footnote>
  <w:footnote w:type="continuationSeparator" w:id="0">
    <w:p w:rsidR="00C53601" w:rsidRDefault="00C53601" w:rsidP="00A10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36974"/>
      <w:docPartObj>
        <w:docPartGallery w:val="Page Numbers (Top of Page)"/>
        <w:docPartUnique/>
      </w:docPartObj>
    </w:sdtPr>
    <w:sdtEndPr/>
    <w:sdtContent>
      <w:p w:rsidR="00A104BF" w:rsidRDefault="00A104BF">
        <w:pPr>
          <w:pStyle w:val="a5"/>
          <w:jc w:val="center"/>
        </w:pPr>
        <w:r>
          <w:fldChar w:fldCharType="begin"/>
        </w:r>
        <w:r>
          <w:instrText>PAGE   \* MERGEFORMAT</w:instrText>
        </w:r>
        <w:r>
          <w:fldChar w:fldCharType="separate"/>
        </w:r>
        <w:r w:rsidR="00942FDB" w:rsidRPr="00942FDB">
          <w:rPr>
            <w:noProof/>
            <w:lang w:val="ru-RU"/>
          </w:rPr>
          <w:t>7</w:t>
        </w:r>
        <w:r>
          <w:fldChar w:fldCharType="end"/>
        </w:r>
      </w:p>
    </w:sdtContent>
  </w:sdt>
  <w:p w:rsidR="00A104BF" w:rsidRDefault="00A104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BA"/>
    <w:rsid w:val="00010253"/>
    <w:rsid w:val="000223DE"/>
    <w:rsid w:val="0003064E"/>
    <w:rsid w:val="00031B81"/>
    <w:rsid w:val="00035F03"/>
    <w:rsid w:val="00046709"/>
    <w:rsid w:val="000719D0"/>
    <w:rsid w:val="000721FC"/>
    <w:rsid w:val="00072935"/>
    <w:rsid w:val="00075DFC"/>
    <w:rsid w:val="000924B2"/>
    <w:rsid w:val="00095F43"/>
    <w:rsid w:val="000D2034"/>
    <w:rsid w:val="000D2639"/>
    <w:rsid w:val="000D4EEA"/>
    <w:rsid w:val="000E02E1"/>
    <w:rsid w:val="000E4DAB"/>
    <w:rsid w:val="000F23CE"/>
    <w:rsid w:val="000F329F"/>
    <w:rsid w:val="0011519F"/>
    <w:rsid w:val="001205BB"/>
    <w:rsid w:val="001268A9"/>
    <w:rsid w:val="0013795D"/>
    <w:rsid w:val="00145548"/>
    <w:rsid w:val="00155F46"/>
    <w:rsid w:val="0015721F"/>
    <w:rsid w:val="00160E3D"/>
    <w:rsid w:val="00161254"/>
    <w:rsid w:val="00163EA3"/>
    <w:rsid w:val="0016603F"/>
    <w:rsid w:val="001726A1"/>
    <w:rsid w:val="00173AA3"/>
    <w:rsid w:val="00180782"/>
    <w:rsid w:val="00183114"/>
    <w:rsid w:val="0019530B"/>
    <w:rsid w:val="001A7E5B"/>
    <w:rsid w:val="001B0AE0"/>
    <w:rsid w:val="001B380D"/>
    <w:rsid w:val="001B5ECA"/>
    <w:rsid w:val="001B76D7"/>
    <w:rsid w:val="001C6BBC"/>
    <w:rsid w:val="001D09B7"/>
    <w:rsid w:val="00211C0E"/>
    <w:rsid w:val="002250DB"/>
    <w:rsid w:val="0024505B"/>
    <w:rsid w:val="00247F00"/>
    <w:rsid w:val="002506D5"/>
    <w:rsid w:val="00254307"/>
    <w:rsid w:val="00292EFE"/>
    <w:rsid w:val="00294EAE"/>
    <w:rsid w:val="002A575A"/>
    <w:rsid w:val="002C03BB"/>
    <w:rsid w:val="002E370D"/>
    <w:rsid w:val="002E579F"/>
    <w:rsid w:val="002E6E7A"/>
    <w:rsid w:val="002F6184"/>
    <w:rsid w:val="00312215"/>
    <w:rsid w:val="00312B1A"/>
    <w:rsid w:val="0032237F"/>
    <w:rsid w:val="00327FF1"/>
    <w:rsid w:val="0035473C"/>
    <w:rsid w:val="0035652F"/>
    <w:rsid w:val="0036285D"/>
    <w:rsid w:val="00365A68"/>
    <w:rsid w:val="0038014D"/>
    <w:rsid w:val="003A4ECE"/>
    <w:rsid w:val="003B2DB7"/>
    <w:rsid w:val="003C39E0"/>
    <w:rsid w:val="003C7CCC"/>
    <w:rsid w:val="003D3FF4"/>
    <w:rsid w:val="003D40B0"/>
    <w:rsid w:val="003E715F"/>
    <w:rsid w:val="003F1C72"/>
    <w:rsid w:val="0040127E"/>
    <w:rsid w:val="00416195"/>
    <w:rsid w:val="0042438F"/>
    <w:rsid w:val="00427DB1"/>
    <w:rsid w:val="00477E68"/>
    <w:rsid w:val="0049592D"/>
    <w:rsid w:val="004B4D10"/>
    <w:rsid w:val="004C13F4"/>
    <w:rsid w:val="004C3623"/>
    <w:rsid w:val="004C521C"/>
    <w:rsid w:val="004C5D6B"/>
    <w:rsid w:val="004F2761"/>
    <w:rsid w:val="0051662E"/>
    <w:rsid w:val="005176B3"/>
    <w:rsid w:val="00530BCE"/>
    <w:rsid w:val="00536F30"/>
    <w:rsid w:val="00537248"/>
    <w:rsid w:val="00551C2A"/>
    <w:rsid w:val="005562B5"/>
    <w:rsid w:val="00562F88"/>
    <w:rsid w:val="00571E03"/>
    <w:rsid w:val="005809E4"/>
    <w:rsid w:val="005966F9"/>
    <w:rsid w:val="005C515D"/>
    <w:rsid w:val="005E028A"/>
    <w:rsid w:val="005F78AC"/>
    <w:rsid w:val="005F7E8D"/>
    <w:rsid w:val="00600EA1"/>
    <w:rsid w:val="00621F19"/>
    <w:rsid w:val="00637278"/>
    <w:rsid w:val="00674404"/>
    <w:rsid w:val="006A1CDE"/>
    <w:rsid w:val="006B2766"/>
    <w:rsid w:val="006B5579"/>
    <w:rsid w:val="006C53B9"/>
    <w:rsid w:val="006C79AD"/>
    <w:rsid w:val="00711E31"/>
    <w:rsid w:val="00720B6D"/>
    <w:rsid w:val="00727180"/>
    <w:rsid w:val="00735926"/>
    <w:rsid w:val="007410AA"/>
    <w:rsid w:val="00742D85"/>
    <w:rsid w:val="00785A36"/>
    <w:rsid w:val="0079051E"/>
    <w:rsid w:val="007B6B9F"/>
    <w:rsid w:val="007C1812"/>
    <w:rsid w:val="007C4F3D"/>
    <w:rsid w:val="007D51F0"/>
    <w:rsid w:val="007D5FD1"/>
    <w:rsid w:val="007D60BB"/>
    <w:rsid w:val="007D7C20"/>
    <w:rsid w:val="00814381"/>
    <w:rsid w:val="008161E8"/>
    <w:rsid w:val="00823E56"/>
    <w:rsid w:val="00830085"/>
    <w:rsid w:val="00831CB2"/>
    <w:rsid w:val="0083643E"/>
    <w:rsid w:val="00842364"/>
    <w:rsid w:val="00843A7D"/>
    <w:rsid w:val="00843A9C"/>
    <w:rsid w:val="00844480"/>
    <w:rsid w:val="00856BD3"/>
    <w:rsid w:val="008614FA"/>
    <w:rsid w:val="00861536"/>
    <w:rsid w:val="00870C03"/>
    <w:rsid w:val="00883D96"/>
    <w:rsid w:val="008B4880"/>
    <w:rsid w:val="008C0042"/>
    <w:rsid w:val="008C6216"/>
    <w:rsid w:val="008D3F8A"/>
    <w:rsid w:val="008D6B17"/>
    <w:rsid w:val="008F4DB7"/>
    <w:rsid w:val="0090127C"/>
    <w:rsid w:val="00904F4C"/>
    <w:rsid w:val="00906FFE"/>
    <w:rsid w:val="00914103"/>
    <w:rsid w:val="00915278"/>
    <w:rsid w:val="009222AD"/>
    <w:rsid w:val="00924BAA"/>
    <w:rsid w:val="00926F8E"/>
    <w:rsid w:val="0093193E"/>
    <w:rsid w:val="00942FDB"/>
    <w:rsid w:val="009509DE"/>
    <w:rsid w:val="00974BC5"/>
    <w:rsid w:val="00977322"/>
    <w:rsid w:val="0099230F"/>
    <w:rsid w:val="00996B1A"/>
    <w:rsid w:val="009A0606"/>
    <w:rsid w:val="009A63BB"/>
    <w:rsid w:val="009B7DF0"/>
    <w:rsid w:val="009C40A8"/>
    <w:rsid w:val="009D17A0"/>
    <w:rsid w:val="009E4756"/>
    <w:rsid w:val="009F1CA6"/>
    <w:rsid w:val="00A104BF"/>
    <w:rsid w:val="00A1126C"/>
    <w:rsid w:val="00A2531B"/>
    <w:rsid w:val="00A34A21"/>
    <w:rsid w:val="00A352D3"/>
    <w:rsid w:val="00A44BEE"/>
    <w:rsid w:val="00A613C4"/>
    <w:rsid w:val="00A64649"/>
    <w:rsid w:val="00A81938"/>
    <w:rsid w:val="00AA159F"/>
    <w:rsid w:val="00AC3B8C"/>
    <w:rsid w:val="00AD558B"/>
    <w:rsid w:val="00AD68B2"/>
    <w:rsid w:val="00AE7164"/>
    <w:rsid w:val="00B41D05"/>
    <w:rsid w:val="00B52423"/>
    <w:rsid w:val="00B52F3A"/>
    <w:rsid w:val="00B62C15"/>
    <w:rsid w:val="00B76C3E"/>
    <w:rsid w:val="00B81AC7"/>
    <w:rsid w:val="00B82F65"/>
    <w:rsid w:val="00BA3ABC"/>
    <w:rsid w:val="00BA717A"/>
    <w:rsid w:val="00BB2D8B"/>
    <w:rsid w:val="00BB7626"/>
    <w:rsid w:val="00BC78CB"/>
    <w:rsid w:val="00C06AAC"/>
    <w:rsid w:val="00C2584C"/>
    <w:rsid w:val="00C37410"/>
    <w:rsid w:val="00C46B9B"/>
    <w:rsid w:val="00C53601"/>
    <w:rsid w:val="00C75FC2"/>
    <w:rsid w:val="00C7739C"/>
    <w:rsid w:val="00C81BA5"/>
    <w:rsid w:val="00C84D94"/>
    <w:rsid w:val="00CA6F99"/>
    <w:rsid w:val="00CF044D"/>
    <w:rsid w:val="00CF1D00"/>
    <w:rsid w:val="00D15EBA"/>
    <w:rsid w:val="00D2680D"/>
    <w:rsid w:val="00D34CB2"/>
    <w:rsid w:val="00D541FD"/>
    <w:rsid w:val="00D84218"/>
    <w:rsid w:val="00D9617D"/>
    <w:rsid w:val="00DB2A09"/>
    <w:rsid w:val="00DC09A9"/>
    <w:rsid w:val="00DE2371"/>
    <w:rsid w:val="00DF2A8D"/>
    <w:rsid w:val="00DF60B9"/>
    <w:rsid w:val="00E0467E"/>
    <w:rsid w:val="00E06567"/>
    <w:rsid w:val="00E117BC"/>
    <w:rsid w:val="00E35CD6"/>
    <w:rsid w:val="00E52506"/>
    <w:rsid w:val="00E8367F"/>
    <w:rsid w:val="00E930E3"/>
    <w:rsid w:val="00E93264"/>
    <w:rsid w:val="00EA453D"/>
    <w:rsid w:val="00EA4C2A"/>
    <w:rsid w:val="00EB20A6"/>
    <w:rsid w:val="00ED3C14"/>
    <w:rsid w:val="00EF200A"/>
    <w:rsid w:val="00EF6C9D"/>
    <w:rsid w:val="00EF73FC"/>
    <w:rsid w:val="00F14D4C"/>
    <w:rsid w:val="00F15794"/>
    <w:rsid w:val="00F16E9F"/>
    <w:rsid w:val="00F20703"/>
    <w:rsid w:val="00F34037"/>
    <w:rsid w:val="00F3457E"/>
    <w:rsid w:val="00F37A32"/>
    <w:rsid w:val="00F84739"/>
    <w:rsid w:val="00F93263"/>
    <w:rsid w:val="00FB7C53"/>
    <w:rsid w:val="00FE2D48"/>
    <w:rsid w:val="00FF337C"/>
    <w:rsid w:val="00FF4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BA"/>
  </w:style>
  <w:style w:type="paragraph" w:styleId="3">
    <w:name w:val="heading 3"/>
    <w:basedOn w:val="a"/>
    <w:link w:val="30"/>
    <w:uiPriority w:val="9"/>
    <w:unhideWhenUsed/>
    <w:qFormat/>
    <w:rsid w:val="001A7E5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A7E5B"/>
    <w:rPr>
      <w:rFonts w:ascii="Times New Roman" w:eastAsiaTheme="minorEastAsia" w:hAnsi="Times New Roman" w:cs="Times New Roman"/>
      <w:b/>
      <w:bCs/>
      <w:sz w:val="27"/>
      <w:szCs w:val="27"/>
      <w:lang w:eastAsia="uk-UA"/>
    </w:rPr>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977322"/>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iPriority w:val="99"/>
    <w:unhideWhenUsed/>
    <w:qFormat/>
    <w:rsid w:val="0097732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BC78C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C78CB"/>
  </w:style>
  <w:style w:type="paragraph" w:styleId="a7">
    <w:name w:val="footer"/>
    <w:basedOn w:val="a"/>
    <w:link w:val="a8"/>
    <w:uiPriority w:val="99"/>
    <w:unhideWhenUsed/>
    <w:rsid w:val="00A104B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104BF"/>
  </w:style>
  <w:style w:type="character" w:styleId="a9">
    <w:name w:val="annotation reference"/>
    <w:basedOn w:val="a0"/>
    <w:uiPriority w:val="99"/>
    <w:semiHidden/>
    <w:unhideWhenUsed/>
    <w:rsid w:val="00D84218"/>
    <w:rPr>
      <w:sz w:val="16"/>
      <w:szCs w:val="16"/>
    </w:rPr>
  </w:style>
  <w:style w:type="paragraph" w:styleId="aa">
    <w:name w:val="annotation text"/>
    <w:basedOn w:val="a"/>
    <w:link w:val="ab"/>
    <w:uiPriority w:val="99"/>
    <w:semiHidden/>
    <w:unhideWhenUsed/>
    <w:rsid w:val="00D84218"/>
    <w:pPr>
      <w:spacing w:line="240" w:lineRule="auto"/>
    </w:pPr>
    <w:rPr>
      <w:sz w:val="20"/>
      <w:szCs w:val="20"/>
    </w:rPr>
  </w:style>
  <w:style w:type="character" w:customStyle="1" w:styleId="ab">
    <w:name w:val="Текст примечания Знак"/>
    <w:basedOn w:val="a0"/>
    <w:link w:val="aa"/>
    <w:uiPriority w:val="99"/>
    <w:semiHidden/>
    <w:rsid w:val="00D84218"/>
    <w:rPr>
      <w:sz w:val="20"/>
      <w:szCs w:val="20"/>
    </w:rPr>
  </w:style>
  <w:style w:type="paragraph" w:styleId="ac">
    <w:name w:val="Balloon Text"/>
    <w:basedOn w:val="a"/>
    <w:link w:val="ad"/>
    <w:uiPriority w:val="99"/>
    <w:semiHidden/>
    <w:unhideWhenUsed/>
    <w:rsid w:val="00D842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4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BA"/>
  </w:style>
  <w:style w:type="paragraph" w:styleId="3">
    <w:name w:val="heading 3"/>
    <w:basedOn w:val="a"/>
    <w:link w:val="30"/>
    <w:uiPriority w:val="9"/>
    <w:unhideWhenUsed/>
    <w:qFormat/>
    <w:rsid w:val="001A7E5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A7E5B"/>
    <w:rPr>
      <w:rFonts w:ascii="Times New Roman" w:eastAsiaTheme="minorEastAsia" w:hAnsi="Times New Roman" w:cs="Times New Roman"/>
      <w:b/>
      <w:bCs/>
      <w:sz w:val="27"/>
      <w:szCs w:val="27"/>
      <w:lang w:eastAsia="uk-UA"/>
    </w:rPr>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977322"/>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iPriority w:val="99"/>
    <w:unhideWhenUsed/>
    <w:qFormat/>
    <w:rsid w:val="0097732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BC78C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C78CB"/>
  </w:style>
  <w:style w:type="paragraph" w:styleId="a7">
    <w:name w:val="footer"/>
    <w:basedOn w:val="a"/>
    <w:link w:val="a8"/>
    <w:uiPriority w:val="99"/>
    <w:unhideWhenUsed/>
    <w:rsid w:val="00A104B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104BF"/>
  </w:style>
  <w:style w:type="character" w:styleId="a9">
    <w:name w:val="annotation reference"/>
    <w:basedOn w:val="a0"/>
    <w:uiPriority w:val="99"/>
    <w:semiHidden/>
    <w:unhideWhenUsed/>
    <w:rsid w:val="00D84218"/>
    <w:rPr>
      <w:sz w:val="16"/>
      <w:szCs w:val="16"/>
    </w:rPr>
  </w:style>
  <w:style w:type="paragraph" w:styleId="aa">
    <w:name w:val="annotation text"/>
    <w:basedOn w:val="a"/>
    <w:link w:val="ab"/>
    <w:uiPriority w:val="99"/>
    <w:semiHidden/>
    <w:unhideWhenUsed/>
    <w:rsid w:val="00D84218"/>
    <w:pPr>
      <w:spacing w:line="240" w:lineRule="auto"/>
    </w:pPr>
    <w:rPr>
      <w:sz w:val="20"/>
      <w:szCs w:val="20"/>
    </w:rPr>
  </w:style>
  <w:style w:type="character" w:customStyle="1" w:styleId="ab">
    <w:name w:val="Текст примечания Знак"/>
    <w:basedOn w:val="a0"/>
    <w:link w:val="aa"/>
    <w:uiPriority w:val="99"/>
    <w:semiHidden/>
    <w:rsid w:val="00D84218"/>
    <w:rPr>
      <w:sz w:val="20"/>
      <w:szCs w:val="20"/>
    </w:rPr>
  </w:style>
  <w:style w:type="paragraph" w:styleId="ac">
    <w:name w:val="Balloon Text"/>
    <w:basedOn w:val="a"/>
    <w:link w:val="ad"/>
    <w:uiPriority w:val="99"/>
    <w:semiHidden/>
    <w:unhideWhenUsed/>
    <w:rsid w:val="00D8421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7695</Words>
  <Characters>4387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БОНДАР ЛЮДМИЛА МИХАЙЛІВНА</cp:lastModifiedBy>
  <cp:revision>7</cp:revision>
  <cp:lastPrinted>2021-10-11T11:54:00Z</cp:lastPrinted>
  <dcterms:created xsi:type="dcterms:W3CDTF">2021-10-08T11:40:00Z</dcterms:created>
  <dcterms:modified xsi:type="dcterms:W3CDTF">2021-10-11T12:01:00Z</dcterms:modified>
</cp:coreProperties>
</file>